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17CE" w14:textId="6E861D36" w:rsidR="1911F2CF" w:rsidRDefault="1911F2CF" w:rsidP="009A323E">
      <w:pPr>
        <w:pStyle w:val="Heading1"/>
      </w:pPr>
      <w:r>
        <w:t>Resource in focus</w:t>
      </w:r>
      <w:r w:rsidR="00317A67">
        <w:t xml:space="preserve"> –</w:t>
      </w:r>
      <w:r w:rsidR="003F7B98">
        <w:t xml:space="preserve"> </w:t>
      </w:r>
      <w:r w:rsidR="003F7B98" w:rsidRPr="003F7B98">
        <w:t xml:space="preserve">Mathematics Stage </w:t>
      </w:r>
      <w:r w:rsidR="00EE5418">
        <w:t>4</w:t>
      </w:r>
      <w:r w:rsidR="003F7B98" w:rsidRPr="003F7B98">
        <w:t xml:space="preserve"> </w:t>
      </w:r>
    </w:p>
    <w:p w14:paraId="762FF7F7" w14:textId="568450D7" w:rsidR="2CCED3AD" w:rsidRDefault="003F7B98" w:rsidP="009A323E">
      <w:pPr>
        <w:pStyle w:val="Heading2"/>
      </w:pPr>
      <w:r>
        <w:t>E</w:t>
      </w:r>
      <w:r w:rsidRPr="003F7B98">
        <w:t>ffective in-class questioning</w:t>
      </w:r>
      <w:r>
        <w:t xml:space="preserve"> </w:t>
      </w:r>
    </w:p>
    <w:p w14:paraId="3DA1B929" w14:textId="11F40C19" w:rsidR="7405225F" w:rsidRPr="009A323E" w:rsidRDefault="00100551" w:rsidP="009A323E">
      <w:r w:rsidRPr="00100551">
        <w:t xml:space="preserve">This resource showcases an excerpt from the Mathematics </w:t>
      </w:r>
      <w:r w:rsidR="00361E73" w:rsidRPr="00100551">
        <w:t>Stage 4</w:t>
      </w:r>
      <w:r w:rsidR="00361E73">
        <w:t xml:space="preserve"> </w:t>
      </w:r>
      <w:r w:rsidRPr="00100551">
        <w:t xml:space="preserve">sample </w:t>
      </w:r>
      <w:hyperlink r:id="rId8" w:anchor=":~:text=DOCX%20415%20KB)-,Stage%204,-These%20units%20and" w:history="1">
        <w:r w:rsidRPr="00100551">
          <w:rPr>
            <w:rStyle w:val="Hyperlink"/>
          </w:rPr>
          <w:t xml:space="preserve">Unit 4 </w:t>
        </w:r>
        <w:r w:rsidR="00822ED5">
          <w:rPr>
            <w:rStyle w:val="Hyperlink"/>
          </w:rPr>
          <w:t>–</w:t>
        </w:r>
        <w:r w:rsidRPr="00100551">
          <w:rPr>
            <w:rStyle w:val="Hyperlink"/>
          </w:rPr>
          <w:t xml:space="preserve"> additive thinking </w:t>
        </w:r>
        <w:r w:rsidR="00822ED5">
          <w:rPr>
            <w:rStyle w:val="Hyperlink"/>
          </w:rPr>
          <w:t>–</w:t>
        </w:r>
        <w:r w:rsidRPr="00100551">
          <w:rPr>
            <w:rStyle w:val="Hyperlink"/>
          </w:rPr>
          <w:t xml:space="preserve"> Lesson 7 </w:t>
        </w:r>
        <w:r w:rsidR="00822ED5">
          <w:rPr>
            <w:rStyle w:val="Hyperlink"/>
          </w:rPr>
          <w:t>–</w:t>
        </w:r>
        <w:r w:rsidRPr="00100551">
          <w:rPr>
            <w:rStyle w:val="Hyperlink"/>
          </w:rPr>
          <w:t xml:space="preserve"> seeing double</w:t>
        </w:r>
      </w:hyperlink>
      <w:r>
        <w:t xml:space="preserve">. </w:t>
      </w:r>
      <w:r w:rsidR="7405225F" w:rsidRPr="009A323E">
        <w:t xml:space="preserve">Sample units are optional resources that present </w:t>
      </w:r>
      <w:r w:rsidR="008D5D62">
        <w:t>‘</w:t>
      </w:r>
      <w:r w:rsidR="7405225F" w:rsidRPr="008D5D62">
        <w:t>one way</w:t>
      </w:r>
      <w:r w:rsidR="008D5D62">
        <w:t>’</w:t>
      </w:r>
      <w:r w:rsidR="7405225F" w:rsidRPr="009A323E">
        <w:t xml:space="preserve"> of designing teaching and learning experiences. They can be adopted and adapted for your school context.</w:t>
      </w:r>
    </w:p>
    <w:p w14:paraId="797A8788" w14:textId="03921EB8" w:rsidR="41A937D4" w:rsidRPr="009A323E" w:rsidRDefault="41A937D4" w:rsidP="009A323E">
      <w:r w:rsidRPr="009A323E">
        <w:t xml:space="preserve">The example </w:t>
      </w:r>
      <w:r w:rsidR="1F52FFF6" w:rsidRPr="009A323E">
        <w:t xml:space="preserve">below </w:t>
      </w:r>
      <w:r w:rsidRPr="009A323E">
        <w:t xml:space="preserve">demonstrates </w:t>
      </w:r>
      <w:r w:rsidRPr="00552316">
        <w:rPr>
          <w:rStyle w:val="Strong"/>
        </w:rPr>
        <w:t>one way</w:t>
      </w:r>
      <w:r w:rsidRPr="009A323E">
        <w:t xml:space="preserve"> that </w:t>
      </w:r>
      <w:r w:rsidR="2DC92D4C" w:rsidRPr="009A323E">
        <w:t xml:space="preserve">activities in a lesson may be adapted to strengthen opportunities for effective questioning. </w:t>
      </w:r>
      <w:r w:rsidR="1C844562" w:rsidRPr="009A323E">
        <w:t xml:space="preserve">It focuses on </w:t>
      </w:r>
      <w:r w:rsidR="1245A57F" w:rsidRPr="009A323E">
        <w:t xml:space="preserve">Lesson </w:t>
      </w:r>
      <w:r w:rsidR="00EE5418">
        <w:t>7</w:t>
      </w:r>
      <w:r w:rsidR="00414D3D">
        <w:t xml:space="preserve"> –</w:t>
      </w:r>
      <w:r w:rsidR="1245A57F" w:rsidRPr="009A323E">
        <w:t xml:space="preserve"> </w:t>
      </w:r>
      <w:r w:rsidR="00822ED5">
        <w:t>s</w:t>
      </w:r>
      <w:r w:rsidR="00EE5418">
        <w:t xml:space="preserve">eeing double. </w:t>
      </w:r>
      <w:r w:rsidR="5F076758" w:rsidRPr="009A323E">
        <w:t xml:space="preserve">This lesson sits within a </w:t>
      </w:r>
      <w:r w:rsidR="00EE5418">
        <w:t>1</w:t>
      </w:r>
      <w:r w:rsidR="5F076758" w:rsidRPr="009A323E">
        <w:t>2</w:t>
      </w:r>
      <w:r w:rsidR="00EE5418">
        <w:t>-lesson</w:t>
      </w:r>
      <w:r w:rsidR="5F076758" w:rsidRPr="009A323E">
        <w:t xml:space="preserve"> uni</w:t>
      </w:r>
      <w:r w:rsidR="00EE5418">
        <w:t xml:space="preserve">t. </w:t>
      </w:r>
    </w:p>
    <w:p w14:paraId="4F79046A" w14:textId="7F97601A" w:rsidR="41A937D4" w:rsidRDefault="00813DAA" w:rsidP="001B5480">
      <w:pPr>
        <w:pStyle w:val="FeatureBox"/>
        <w:rPr>
          <w:rFonts w:eastAsia="Arial"/>
        </w:rPr>
      </w:pPr>
      <w:r w:rsidRPr="00813DAA">
        <w:rPr>
          <w:rStyle w:val="Strong"/>
        </w:rPr>
        <w:t>Note:</w:t>
      </w:r>
      <w:r>
        <w:t xml:space="preserve"> p</w:t>
      </w:r>
      <w:r w:rsidR="2DC92D4C" w:rsidRPr="009A323E">
        <w:t>ossible adaptations are represented</w:t>
      </w:r>
      <w:r w:rsidR="2DC92D4C" w:rsidRPr="5CDA8020">
        <w:rPr>
          <w:rFonts w:eastAsia="Arial"/>
          <w:color w:val="000000" w:themeColor="text1"/>
        </w:rPr>
        <w:t xml:space="preserve"> in </w:t>
      </w:r>
      <w:r w:rsidR="2DC92D4C" w:rsidRPr="00E55074">
        <w:rPr>
          <w:rFonts w:eastAsia="Arial"/>
          <w:b/>
          <w:bCs/>
          <w:color w:val="D7153A"/>
        </w:rPr>
        <w:t>bold red</w:t>
      </w:r>
      <w:r w:rsidR="2DC92D4C" w:rsidRPr="5CDA8020">
        <w:rPr>
          <w:rFonts w:eastAsia="Arial"/>
          <w:color w:val="000000" w:themeColor="text1"/>
        </w:rPr>
        <w:t>.</w:t>
      </w:r>
    </w:p>
    <w:p w14:paraId="383C5598" w14:textId="142988D3" w:rsidR="00914A67" w:rsidRDefault="00914A67" w:rsidP="00914A67">
      <w:pPr>
        <w:pStyle w:val="Heading3"/>
      </w:pPr>
      <w:r>
        <w:t>Launch</w:t>
      </w:r>
      <w:r w:rsidR="00822ED5">
        <w:t>:</w:t>
      </w:r>
      <w:r>
        <w:t xml:space="preserve"> Lesson 7</w:t>
      </w:r>
      <w:r w:rsidR="00822ED5">
        <w:t xml:space="preserve"> –</w:t>
      </w:r>
      <w:r>
        <w:t xml:space="preserve"> </w:t>
      </w:r>
      <w:r w:rsidR="00822ED5">
        <w:t>s</w:t>
      </w:r>
      <w:r>
        <w:t>eeing double</w:t>
      </w:r>
    </w:p>
    <w:p w14:paraId="173C93E5" w14:textId="00D65081" w:rsidR="68EF4BD4" w:rsidRDefault="68EF4BD4" w:rsidP="009A323E">
      <w:pPr>
        <w:pStyle w:val="FeatureBox2"/>
      </w:pPr>
      <w:r w:rsidRPr="009A323E">
        <w:rPr>
          <w:b/>
          <w:bCs/>
        </w:rPr>
        <w:t>Note:</w:t>
      </w:r>
      <w:r>
        <w:t xml:space="preserve"> </w:t>
      </w:r>
      <w:r w:rsidR="00813DAA">
        <w:t>w</w:t>
      </w:r>
      <w:r w:rsidR="00CC7A3C">
        <w:t>arm up</w:t>
      </w:r>
      <w:r>
        <w:t xml:space="preserve"> section omitted.</w:t>
      </w:r>
    </w:p>
    <w:p w14:paraId="7B3E45DB" w14:textId="4CE4DFF9" w:rsidR="72CD7883" w:rsidRDefault="72CD7883" w:rsidP="78A6F2B6">
      <w:r w:rsidRPr="78A6F2B6">
        <w:rPr>
          <w:rFonts w:eastAsia="Arial"/>
        </w:rPr>
        <w:lastRenderedPageBreak/>
        <w:t xml:space="preserve">The table below contains </w:t>
      </w:r>
      <w:r w:rsidR="00BE2B05">
        <w:rPr>
          <w:rFonts w:eastAsia="Arial"/>
        </w:rPr>
        <w:t xml:space="preserve">the </w:t>
      </w:r>
      <w:r w:rsidRPr="78A6F2B6">
        <w:rPr>
          <w:rFonts w:eastAsia="Arial"/>
        </w:rPr>
        <w:t>suggested learning intentions and success criteria</w:t>
      </w:r>
      <w:r w:rsidR="00BE2B05">
        <w:rPr>
          <w:rFonts w:eastAsia="Arial"/>
        </w:rPr>
        <w:t xml:space="preserve"> for the lesson.</w:t>
      </w:r>
    </w:p>
    <w:tbl>
      <w:tblPr>
        <w:tblStyle w:val="Tableheader"/>
        <w:tblW w:w="0" w:type="auto"/>
        <w:tblLayout w:type="fixed"/>
        <w:tblLook w:val="0420" w:firstRow="1" w:lastRow="0" w:firstColumn="0" w:lastColumn="0" w:noHBand="0" w:noVBand="1"/>
        <w:tblDescription w:val="Table displays learning intention and success criteria for Lesson 7. "/>
      </w:tblPr>
      <w:tblGrid>
        <w:gridCol w:w="7275"/>
        <w:gridCol w:w="7275"/>
      </w:tblGrid>
      <w:tr w:rsidR="78A6F2B6" w14:paraId="06210FBF" w14:textId="77777777" w:rsidTr="009A323E">
        <w:trPr>
          <w:cnfStyle w:val="100000000000" w:firstRow="1" w:lastRow="0" w:firstColumn="0" w:lastColumn="0" w:oddVBand="0" w:evenVBand="0" w:oddHBand="0" w:evenHBand="0" w:firstRowFirstColumn="0" w:firstRowLastColumn="0" w:lastRowFirstColumn="0" w:lastRowLastColumn="0"/>
          <w:trHeight w:val="300"/>
        </w:trPr>
        <w:tc>
          <w:tcPr>
            <w:tcW w:w="7275" w:type="dxa"/>
          </w:tcPr>
          <w:p w14:paraId="52DF14D4" w14:textId="2560E196" w:rsidR="78A6F2B6" w:rsidRDefault="00633158" w:rsidP="78A6F2B6">
            <w:pPr>
              <w:spacing w:before="240"/>
            </w:pPr>
            <w:r>
              <w:rPr>
                <w:rFonts w:eastAsia="Arial"/>
                <w:bCs/>
                <w:color w:val="FFFFFF" w:themeColor="background1"/>
              </w:rPr>
              <w:t>L</w:t>
            </w:r>
            <w:r w:rsidR="78A6F2B6" w:rsidRPr="78A6F2B6">
              <w:rPr>
                <w:rFonts w:eastAsia="Arial"/>
                <w:bCs/>
                <w:color w:val="FFFFFF" w:themeColor="background1"/>
              </w:rPr>
              <w:t>earning intention</w:t>
            </w:r>
          </w:p>
        </w:tc>
        <w:tc>
          <w:tcPr>
            <w:tcW w:w="7275" w:type="dxa"/>
          </w:tcPr>
          <w:p w14:paraId="559EC43D" w14:textId="1FE1DA49" w:rsidR="78A6F2B6" w:rsidRDefault="00633158" w:rsidP="78A6F2B6">
            <w:pPr>
              <w:spacing w:before="240"/>
            </w:pPr>
            <w:r>
              <w:rPr>
                <w:rFonts w:eastAsia="Arial"/>
                <w:bCs/>
                <w:color w:val="FFFFFF" w:themeColor="background1"/>
              </w:rPr>
              <w:t>S</w:t>
            </w:r>
            <w:r w:rsidR="78A6F2B6" w:rsidRPr="78A6F2B6">
              <w:rPr>
                <w:rFonts w:eastAsia="Arial"/>
                <w:bCs/>
                <w:color w:val="FFFFFF" w:themeColor="background1"/>
              </w:rPr>
              <w:t>uccess criteria</w:t>
            </w:r>
          </w:p>
        </w:tc>
      </w:tr>
      <w:tr w:rsidR="78A6F2B6" w14:paraId="3A64320F" w14:textId="77777777" w:rsidTr="009A323E">
        <w:trPr>
          <w:cnfStyle w:val="000000100000" w:firstRow="0" w:lastRow="0" w:firstColumn="0" w:lastColumn="0" w:oddVBand="0" w:evenVBand="0" w:oddHBand="1" w:evenHBand="0" w:firstRowFirstColumn="0" w:firstRowLastColumn="0" w:lastRowFirstColumn="0" w:lastRowLastColumn="0"/>
          <w:trHeight w:val="300"/>
        </w:trPr>
        <w:tc>
          <w:tcPr>
            <w:tcW w:w="7275" w:type="dxa"/>
          </w:tcPr>
          <w:p w14:paraId="197F790B" w14:textId="6C7B5622" w:rsidR="78A6F2B6" w:rsidRDefault="00633158" w:rsidP="00E7267D">
            <w:pPr>
              <w:pStyle w:val="ListBullet"/>
              <w:spacing w:before="240"/>
              <w:rPr>
                <w:color w:val="000000" w:themeColor="text1"/>
              </w:rPr>
            </w:pPr>
            <w:r>
              <w:t xml:space="preserve">To be able to add and subtract fractions when one denominator is a multiple of another. </w:t>
            </w:r>
          </w:p>
        </w:tc>
        <w:tc>
          <w:tcPr>
            <w:tcW w:w="7275" w:type="dxa"/>
          </w:tcPr>
          <w:p w14:paraId="0F7146AE" w14:textId="58F40C71" w:rsidR="00633158" w:rsidRPr="00633158" w:rsidRDefault="00633158" w:rsidP="00633158">
            <w:pPr>
              <w:pStyle w:val="ListBullet"/>
              <w:rPr>
                <w:color w:val="000000" w:themeColor="text1"/>
              </w:rPr>
            </w:pPr>
            <w:r w:rsidRPr="00633158">
              <w:rPr>
                <w:color w:val="000000" w:themeColor="text1"/>
              </w:rPr>
              <w:t>I can identify fractions where one denominator is a multiple of another.</w:t>
            </w:r>
          </w:p>
          <w:p w14:paraId="07B14939" w14:textId="77777777" w:rsidR="00633158" w:rsidRPr="00633158" w:rsidRDefault="00633158" w:rsidP="00633158">
            <w:pPr>
              <w:pStyle w:val="ListBullet"/>
              <w:rPr>
                <w:color w:val="000000" w:themeColor="text1"/>
              </w:rPr>
            </w:pPr>
            <w:r w:rsidRPr="00633158">
              <w:rPr>
                <w:color w:val="000000" w:themeColor="text1"/>
              </w:rPr>
              <w:t xml:space="preserve">I can add and subtract fractions where one denominator is a multiple of another. </w:t>
            </w:r>
          </w:p>
          <w:p w14:paraId="353E53B0" w14:textId="67F9C91C" w:rsidR="78A6F2B6" w:rsidRPr="00633158" w:rsidRDefault="00633158" w:rsidP="00D30990">
            <w:pPr>
              <w:pStyle w:val="ListBullet"/>
              <w:rPr>
                <w:color w:val="000000" w:themeColor="text1"/>
              </w:rPr>
            </w:pPr>
            <w:r w:rsidRPr="00633158">
              <w:rPr>
                <w:color w:val="000000" w:themeColor="text1"/>
              </w:rPr>
              <w:t xml:space="preserve">I can use visual representations to aid in addition of fractions.  </w:t>
            </w:r>
          </w:p>
        </w:tc>
      </w:tr>
    </w:tbl>
    <w:p w14:paraId="1B5FD7C1" w14:textId="1010D406" w:rsidR="00633158" w:rsidRDefault="00633158" w:rsidP="00633158">
      <w:pPr>
        <w:pStyle w:val="ListNumber"/>
      </w:pPr>
      <w:r>
        <w:t>Assign visibly random groups of 3 (</w:t>
      </w:r>
      <w:hyperlink r:id="rId9" w:history="1">
        <w:r w:rsidRPr="00AE62C4">
          <w:rPr>
            <w:rStyle w:val="Hyperlink"/>
          </w:rPr>
          <w:t>bit.ly/</w:t>
        </w:r>
        <w:proofErr w:type="spellStart"/>
        <w:r w:rsidRPr="00AE62C4">
          <w:rPr>
            <w:rStyle w:val="Hyperlink"/>
          </w:rPr>
          <w:t>visiblegroups</w:t>
        </w:r>
        <w:proofErr w:type="spellEnd"/>
      </w:hyperlink>
      <w:r>
        <w:t>) and have students stand at vertical non-permanent surfaces (VNPS) (</w:t>
      </w:r>
      <w:hyperlink r:id="rId10" w:history="1">
        <w:r w:rsidRPr="006D227D">
          <w:rPr>
            <w:rStyle w:val="Hyperlink"/>
          </w:rPr>
          <w:t>bit.ly/</w:t>
        </w:r>
        <w:proofErr w:type="spellStart"/>
        <w:r w:rsidRPr="006D227D">
          <w:rPr>
            <w:rStyle w:val="Hyperlink"/>
          </w:rPr>
          <w:t>VNPSstrategy</w:t>
        </w:r>
        <w:proofErr w:type="spellEnd"/>
      </w:hyperlink>
      <w:r>
        <w:t xml:space="preserve">). </w:t>
      </w:r>
    </w:p>
    <w:p w14:paraId="0609EDB5" w14:textId="42F5570C" w:rsidR="00633158" w:rsidRDefault="007617FE" w:rsidP="007617FE">
      <w:pPr>
        <w:pStyle w:val="ListNumber"/>
      </w:pPr>
      <w:r>
        <w:t xml:space="preserve">Each group draws a number line on their VNPS and labels 0 to 1 </w:t>
      </w:r>
      <w:r w:rsidR="000C6526">
        <w:t xml:space="preserve">(see </w:t>
      </w:r>
      <w:r w:rsidR="000C6526">
        <w:fldChar w:fldCharType="begin"/>
      </w:r>
      <w:r w:rsidR="000C6526">
        <w:instrText xml:space="preserve"> REF _Ref172296037 \h </w:instrText>
      </w:r>
      <w:r w:rsidR="000C6526">
        <w:fldChar w:fldCharType="separate"/>
      </w:r>
      <w:r w:rsidR="000C6526">
        <w:t xml:space="preserve">Figure </w:t>
      </w:r>
      <w:r w:rsidR="000C6526">
        <w:rPr>
          <w:noProof/>
        </w:rPr>
        <w:t>1</w:t>
      </w:r>
      <w:r w:rsidR="000C6526">
        <w:fldChar w:fldCharType="end"/>
      </w:r>
      <w:r w:rsidR="000C6526">
        <w:t>)</w:t>
      </w:r>
      <w:r>
        <w:t>.</w:t>
      </w:r>
    </w:p>
    <w:p w14:paraId="05680788" w14:textId="60CEAEF5" w:rsidR="00223C71" w:rsidRPr="006B7FD0" w:rsidRDefault="00223C71" w:rsidP="00223C71">
      <w:pPr>
        <w:pStyle w:val="Caption"/>
        <w:rPr>
          <w:rFonts w:eastAsia="Times New Roman"/>
          <w:b/>
          <w:bCs/>
          <w:sz w:val="24"/>
          <w:lang w:eastAsia="en-AU"/>
        </w:rPr>
      </w:pPr>
      <w:bookmarkStart w:id="0" w:name="_Ref172296037"/>
      <w:bookmarkStart w:id="1" w:name="_Ref172295995"/>
      <w:r>
        <w:t xml:space="preserve">Figure </w:t>
      </w:r>
      <w:r>
        <w:fldChar w:fldCharType="begin"/>
      </w:r>
      <w:r>
        <w:instrText xml:space="preserve"> SEQ Figure \* ARABIC </w:instrText>
      </w:r>
      <w:r>
        <w:fldChar w:fldCharType="separate"/>
      </w:r>
      <w:r>
        <w:rPr>
          <w:noProof/>
        </w:rPr>
        <w:t>1</w:t>
      </w:r>
      <w:r>
        <w:fldChar w:fldCharType="end"/>
      </w:r>
      <w:bookmarkEnd w:id="0"/>
      <w:r w:rsidR="00822ED5">
        <w:t>:</w:t>
      </w:r>
      <w:r w:rsidRPr="005E0F73">
        <w:rPr>
          <w:rFonts w:eastAsia="Times New Roman"/>
          <w:b/>
          <w:bCs/>
          <w:sz w:val="24"/>
          <w:lang w:eastAsia="en-AU"/>
        </w:rPr>
        <w:t xml:space="preserve"> </w:t>
      </w:r>
      <w:r w:rsidRPr="00D768DA">
        <w:t>number line from 0 to 1</w:t>
      </w:r>
      <w:bookmarkEnd w:id="1"/>
    </w:p>
    <w:p w14:paraId="160531C5" w14:textId="77777777" w:rsidR="00633158" w:rsidRDefault="00633158" w:rsidP="006D227D">
      <w:pPr>
        <w:pStyle w:val="ListNumber"/>
        <w:numPr>
          <w:ilvl w:val="0"/>
          <w:numId w:val="0"/>
        </w:numPr>
        <w:ind w:left="567"/>
      </w:pPr>
      <w:r w:rsidRPr="00633158">
        <w:rPr>
          <w:rFonts w:ascii="Segoe UI" w:hAnsi="Segoe UI" w:cs="Segoe UI"/>
          <w:noProof/>
          <w:sz w:val="18"/>
          <w:shd w:val="clear" w:color="auto" w:fill="FFFFFF"/>
          <w:lang w:eastAsia="en-AU"/>
        </w:rPr>
        <w:drawing>
          <wp:inline distT="0" distB="0" distL="0" distR="0" wp14:anchorId="69E0809F" wp14:editId="45E079D7">
            <wp:extent cx="8679815" cy="621665"/>
            <wp:effectExtent l="0" t="0" r="6985" b="6985"/>
            <wp:docPr id="37653320" name="Picture 2" descr="A number line from 0 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3320" name="Picture 2" descr="A number line from 0 to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9815" cy="621665"/>
                    </a:xfrm>
                    <a:prstGeom prst="rect">
                      <a:avLst/>
                    </a:prstGeom>
                    <a:noFill/>
                    <a:ln>
                      <a:noFill/>
                    </a:ln>
                  </pic:spPr>
                </pic:pic>
              </a:graphicData>
            </a:graphic>
          </wp:inline>
        </w:drawing>
      </w:r>
    </w:p>
    <w:p w14:paraId="1E358E41" w14:textId="0128EABC" w:rsidR="00633158" w:rsidRDefault="00633158" w:rsidP="5ED259D9">
      <w:pPr>
        <w:pStyle w:val="ListNumber"/>
      </w:pPr>
      <w:r>
        <w:t>Read out, or write on the board, the following list of fractions that students are to mark and label on the number line</w:t>
      </w:r>
      <w:r w:rsidR="1C47F9F5">
        <w:t>:</w:t>
      </w:r>
    </w:p>
    <w:p w14:paraId="32658E24" w14:textId="77777777" w:rsidR="006627CA" w:rsidRDefault="00000000" w:rsidP="006627CA">
      <w:pPr>
        <w:pStyle w:val="ListNumber"/>
        <w:numPr>
          <w:ilvl w:val="0"/>
          <w:numId w:val="13"/>
        </w:numPr>
        <w:ind w:left="1134"/>
      </w:pPr>
      <m:oMath>
        <m:f>
          <m:fPr>
            <m:ctrlPr>
              <w:rPr>
                <w:rFonts w:ascii="Cambria Math" w:hAnsi="Cambria Math"/>
                <w:i/>
              </w:rPr>
            </m:ctrlPr>
          </m:fPr>
          <m:num>
            <m:r>
              <w:rPr>
                <w:rFonts w:ascii="Cambria Math" w:hAnsi="Cambria Math"/>
              </w:rPr>
              <m:t>1</m:t>
            </m:r>
          </m:num>
          <m:den>
            <m:r>
              <w:rPr>
                <w:rFonts w:ascii="Cambria Math" w:hAnsi="Cambria Math"/>
              </w:rPr>
              <m:t>2</m:t>
            </m:r>
          </m:den>
        </m:f>
      </m:oMath>
    </w:p>
    <w:p w14:paraId="7D0AC627" w14:textId="77777777" w:rsidR="006627CA" w:rsidRPr="006E6FF8" w:rsidRDefault="00000000" w:rsidP="006627CA">
      <w:pPr>
        <w:pStyle w:val="ListNumber"/>
        <w:numPr>
          <w:ilvl w:val="0"/>
          <w:numId w:val="13"/>
        </w:numPr>
        <w:ind w:left="1134"/>
      </w:pPr>
      <m:oMath>
        <m:f>
          <m:fPr>
            <m:ctrlPr>
              <w:rPr>
                <w:rFonts w:ascii="Cambria Math" w:hAnsi="Cambria Math"/>
                <w:i/>
              </w:rPr>
            </m:ctrlPr>
          </m:fPr>
          <m:num>
            <m:r>
              <w:rPr>
                <w:rFonts w:ascii="Cambria Math" w:hAnsi="Cambria Math"/>
              </w:rPr>
              <m:t>1</m:t>
            </m:r>
          </m:num>
          <m:den>
            <m:r>
              <w:rPr>
                <w:rFonts w:ascii="Cambria Math" w:hAnsi="Cambria Math"/>
              </w:rPr>
              <m:t>4</m:t>
            </m:r>
          </m:den>
        </m:f>
      </m:oMath>
    </w:p>
    <w:p w14:paraId="2160C686" w14:textId="77777777" w:rsidR="006627CA" w:rsidRDefault="00000000" w:rsidP="006627CA">
      <w:pPr>
        <w:pStyle w:val="ListNumber"/>
        <w:numPr>
          <w:ilvl w:val="0"/>
          <w:numId w:val="13"/>
        </w:numPr>
        <w:ind w:left="1134"/>
      </w:pPr>
      <m:oMath>
        <m:f>
          <m:fPr>
            <m:ctrlPr>
              <w:rPr>
                <w:rFonts w:ascii="Cambria Math" w:hAnsi="Cambria Math"/>
                <w:i/>
              </w:rPr>
            </m:ctrlPr>
          </m:fPr>
          <m:num>
            <m:r>
              <w:rPr>
                <w:rFonts w:ascii="Cambria Math" w:hAnsi="Cambria Math"/>
              </w:rPr>
              <m:t>1</m:t>
            </m:r>
          </m:num>
          <m:den>
            <m:r>
              <w:rPr>
                <w:rFonts w:ascii="Cambria Math" w:hAnsi="Cambria Math"/>
              </w:rPr>
              <m:t>8</m:t>
            </m:r>
          </m:den>
        </m:f>
      </m:oMath>
    </w:p>
    <w:p w14:paraId="18ACBC01" w14:textId="77777777" w:rsidR="006627CA" w:rsidRDefault="00000000" w:rsidP="006627CA">
      <w:pPr>
        <w:pStyle w:val="ListNumber"/>
        <w:numPr>
          <w:ilvl w:val="0"/>
          <w:numId w:val="13"/>
        </w:numPr>
        <w:ind w:left="1134"/>
      </w:pPr>
      <m:oMath>
        <m:f>
          <m:fPr>
            <m:ctrlPr>
              <w:rPr>
                <w:rFonts w:ascii="Cambria Math" w:hAnsi="Cambria Math"/>
                <w:i/>
              </w:rPr>
            </m:ctrlPr>
          </m:fPr>
          <m:num>
            <m:r>
              <w:rPr>
                <w:rFonts w:ascii="Cambria Math" w:hAnsi="Cambria Math"/>
              </w:rPr>
              <m:t>1</m:t>
            </m:r>
          </m:num>
          <m:den>
            <m:r>
              <w:rPr>
                <w:rFonts w:ascii="Cambria Math" w:hAnsi="Cambria Math"/>
              </w:rPr>
              <m:t>3</m:t>
            </m:r>
          </m:den>
        </m:f>
      </m:oMath>
    </w:p>
    <w:p w14:paraId="35B5241E" w14:textId="77777777" w:rsidR="006627CA" w:rsidRDefault="00000000" w:rsidP="006627CA">
      <w:pPr>
        <w:pStyle w:val="ListNumber"/>
        <w:numPr>
          <w:ilvl w:val="0"/>
          <w:numId w:val="13"/>
        </w:numPr>
        <w:ind w:left="1134"/>
      </w:pPr>
      <m:oMath>
        <m:f>
          <m:fPr>
            <m:ctrlPr>
              <w:rPr>
                <w:rFonts w:ascii="Cambria Math" w:hAnsi="Cambria Math"/>
                <w:i/>
              </w:rPr>
            </m:ctrlPr>
          </m:fPr>
          <m:num>
            <m:r>
              <w:rPr>
                <w:rFonts w:ascii="Cambria Math" w:hAnsi="Cambria Math"/>
              </w:rPr>
              <m:t>1</m:t>
            </m:r>
          </m:num>
          <m:den>
            <m:r>
              <w:rPr>
                <w:rFonts w:ascii="Cambria Math" w:hAnsi="Cambria Math"/>
              </w:rPr>
              <m:t>6</m:t>
            </m:r>
          </m:den>
        </m:f>
      </m:oMath>
    </w:p>
    <w:p w14:paraId="01375DC2" w14:textId="77777777" w:rsidR="006627CA" w:rsidRDefault="00000000" w:rsidP="006627CA">
      <w:pPr>
        <w:pStyle w:val="ListNumber"/>
        <w:numPr>
          <w:ilvl w:val="0"/>
          <w:numId w:val="13"/>
        </w:numPr>
        <w:ind w:left="1134"/>
      </w:pPr>
      <m:oMath>
        <m:f>
          <m:fPr>
            <m:ctrlPr>
              <w:rPr>
                <w:rFonts w:ascii="Cambria Math" w:hAnsi="Cambria Math"/>
                <w:i/>
              </w:rPr>
            </m:ctrlPr>
          </m:fPr>
          <m:num>
            <m:r>
              <w:rPr>
                <w:rFonts w:ascii="Cambria Math" w:hAnsi="Cambria Math"/>
              </w:rPr>
              <m:t>3</m:t>
            </m:r>
          </m:num>
          <m:den>
            <m:r>
              <w:rPr>
                <w:rFonts w:ascii="Cambria Math" w:hAnsi="Cambria Math"/>
              </w:rPr>
              <m:t>4</m:t>
            </m:r>
          </m:den>
        </m:f>
      </m:oMath>
    </w:p>
    <w:p w14:paraId="26760A4F" w14:textId="3F05B431" w:rsidR="00633158" w:rsidRDefault="00000000" w:rsidP="006627CA">
      <w:pPr>
        <w:pStyle w:val="ListNumber"/>
        <w:numPr>
          <w:ilvl w:val="0"/>
          <w:numId w:val="13"/>
        </w:numPr>
        <w:ind w:left="1134"/>
      </w:pPr>
      <m:oMath>
        <m:f>
          <m:fPr>
            <m:ctrlPr>
              <w:rPr>
                <w:rFonts w:ascii="Cambria Math" w:hAnsi="Cambria Math"/>
                <w:i/>
              </w:rPr>
            </m:ctrlPr>
          </m:fPr>
          <m:num>
            <m:r>
              <w:rPr>
                <w:rFonts w:ascii="Cambria Math" w:hAnsi="Cambria Math"/>
              </w:rPr>
              <m:t>3</m:t>
            </m:r>
          </m:num>
          <m:den>
            <m:r>
              <w:rPr>
                <w:rFonts w:ascii="Cambria Math" w:hAnsi="Cambria Math"/>
              </w:rPr>
              <m:t>11</m:t>
            </m:r>
          </m:den>
        </m:f>
      </m:oMath>
    </w:p>
    <w:p w14:paraId="197636F8" w14:textId="6225DEBD" w:rsidR="00633158" w:rsidRDefault="00633158" w:rsidP="00633158">
      <w:pPr>
        <w:pStyle w:val="ListNumber"/>
      </w:pPr>
      <w:r>
        <w:t>Students perform a gallery walk (</w:t>
      </w:r>
      <w:hyperlink r:id="rId12" w:anchor=".XyH_HIJCYt4.link" w:history="1">
        <w:r w:rsidRPr="006C3F63">
          <w:rPr>
            <w:rStyle w:val="Hyperlink"/>
          </w:rPr>
          <w:t>bit.ly/</w:t>
        </w:r>
        <w:proofErr w:type="spellStart"/>
        <w:r w:rsidRPr="006C3F63">
          <w:rPr>
            <w:rStyle w:val="Hyperlink"/>
          </w:rPr>
          <w:t>DLSgallerywalk</w:t>
        </w:r>
        <w:proofErr w:type="spellEnd"/>
      </w:hyperlink>
      <w:r>
        <w:t xml:space="preserve">) to see how other groups marked the fractions on their number lines. </w:t>
      </w:r>
    </w:p>
    <w:p w14:paraId="67277965" w14:textId="46726ED9" w:rsidR="00633158" w:rsidRPr="00B04D05" w:rsidRDefault="00633158" w:rsidP="282BCAF9">
      <w:pPr>
        <w:pStyle w:val="ListNumber"/>
        <w:rPr>
          <w:b/>
          <w:bCs/>
          <w:color w:val="C00000"/>
        </w:rPr>
      </w:pPr>
      <w:r>
        <w:t>Pose the following questions to students, using a questioning technique such as Pose-Pause-Pounce-Bounce question</w:t>
      </w:r>
      <w:r w:rsidR="00397DE3">
        <w:t>ing</w:t>
      </w:r>
      <w:r>
        <w:t xml:space="preserve"> strategy (PDF </w:t>
      </w:r>
      <w:r w:rsidR="00397DE3">
        <w:t>557 </w:t>
      </w:r>
      <w:r>
        <w:t>KB</w:t>
      </w:r>
      <w:r w:rsidR="00397DE3">
        <w:t xml:space="preserve">) </w:t>
      </w:r>
      <w:r w:rsidR="0051066B">
        <w:t>(</w:t>
      </w:r>
      <w:hyperlink r:id="rId13">
        <w:r w:rsidRPr="282BCAF9">
          <w:rPr>
            <w:rStyle w:val="Hyperlink"/>
          </w:rPr>
          <w:t>bit.ly/</w:t>
        </w:r>
        <w:proofErr w:type="spellStart"/>
        <w:r w:rsidRPr="282BCAF9">
          <w:rPr>
            <w:rStyle w:val="Hyperlink"/>
          </w:rPr>
          <w:t>pausepouncebounce</w:t>
        </w:r>
        <w:proofErr w:type="spellEnd"/>
      </w:hyperlink>
      <w:r>
        <w:t>)</w:t>
      </w:r>
      <w:r w:rsidR="00715891">
        <w:t>.</w:t>
      </w:r>
      <w:r>
        <w:t xml:space="preserve"> </w:t>
      </w:r>
      <w:r w:rsidR="00A067BD" w:rsidRPr="00E55074">
        <w:rPr>
          <w:b/>
          <w:bCs/>
          <w:color w:val="D7153A"/>
        </w:rPr>
        <w:t xml:space="preserve">Plan </w:t>
      </w:r>
      <w:r w:rsidR="008B22BD" w:rsidRPr="00E55074">
        <w:rPr>
          <w:b/>
          <w:bCs/>
          <w:color w:val="D7153A"/>
        </w:rPr>
        <w:t xml:space="preserve">an </w:t>
      </w:r>
      <w:r w:rsidR="00A067BD" w:rsidRPr="00E55074">
        <w:rPr>
          <w:b/>
          <w:bCs/>
          <w:color w:val="D7153A"/>
        </w:rPr>
        <w:t>anticipated response</w:t>
      </w:r>
      <w:r w:rsidR="008B22BD" w:rsidRPr="00E55074">
        <w:rPr>
          <w:b/>
          <w:bCs/>
          <w:color w:val="D7153A"/>
        </w:rPr>
        <w:t xml:space="preserve"> and ‘bounce’ opportunity</w:t>
      </w:r>
      <w:r w:rsidR="00A067BD" w:rsidRPr="00E55074">
        <w:rPr>
          <w:b/>
          <w:bCs/>
          <w:color w:val="D7153A"/>
        </w:rPr>
        <w:t xml:space="preserve"> </w:t>
      </w:r>
      <w:r w:rsidR="008B22BD" w:rsidRPr="00E55074">
        <w:rPr>
          <w:b/>
          <w:bCs/>
          <w:color w:val="D7153A"/>
        </w:rPr>
        <w:t>for</w:t>
      </w:r>
      <w:r w:rsidR="00B27A5A" w:rsidRPr="00E55074">
        <w:rPr>
          <w:b/>
          <w:bCs/>
          <w:color w:val="D7153A"/>
        </w:rPr>
        <w:t xml:space="preserve"> each question </w:t>
      </w:r>
      <w:r w:rsidR="004D05C2" w:rsidRPr="00E55074">
        <w:rPr>
          <w:b/>
          <w:bCs/>
          <w:color w:val="D7153A"/>
        </w:rPr>
        <w:t>according to your class context. Sample anticipated responses</w:t>
      </w:r>
      <w:r w:rsidR="00603360" w:rsidRPr="00E55074">
        <w:rPr>
          <w:b/>
          <w:bCs/>
          <w:color w:val="D7153A"/>
        </w:rPr>
        <w:t xml:space="preserve"> and bounce opportunities</w:t>
      </w:r>
      <w:r w:rsidR="004D05C2" w:rsidRPr="00E55074">
        <w:rPr>
          <w:b/>
          <w:bCs/>
          <w:color w:val="D7153A"/>
        </w:rPr>
        <w:t xml:space="preserve"> are provided below. </w:t>
      </w:r>
    </w:p>
    <w:p w14:paraId="0BD9616F" w14:textId="405EA994" w:rsidR="00B04D05" w:rsidRPr="00B04D05" w:rsidRDefault="00B04D05" w:rsidP="00B04D05">
      <w:pPr>
        <w:pStyle w:val="FeatureBox"/>
        <w:rPr>
          <w:b/>
          <w:bCs/>
          <w:color w:val="D7153A"/>
        </w:rPr>
      </w:pPr>
      <w:r w:rsidRPr="00B04D05">
        <w:rPr>
          <w:b/>
          <w:bCs/>
          <w:color w:val="D7153A"/>
        </w:rPr>
        <w:t>Teacher note: ensure you allow an appropriate amount of wait time for students to form responses. Consider planning specific students to call on.</w:t>
      </w:r>
    </w:p>
    <w:p w14:paraId="3F1B96CE" w14:textId="5260B670" w:rsidR="00397DE3" w:rsidRDefault="00397DE3">
      <w:pPr>
        <w:suppressAutoHyphens w:val="0"/>
        <w:spacing w:after="0" w:line="276" w:lineRule="auto"/>
        <w:rPr>
          <w:b/>
          <w:bCs/>
          <w:color w:val="E4163D"/>
        </w:rPr>
      </w:pPr>
      <w:r>
        <w:rPr>
          <w:b/>
          <w:bCs/>
          <w:color w:val="E4163D"/>
        </w:rPr>
        <w:br w:type="page"/>
      </w:r>
    </w:p>
    <w:p w14:paraId="49B066B8" w14:textId="54075571" w:rsidR="00084710" w:rsidRPr="00397DE3" w:rsidRDefault="001B2FB6" w:rsidP="00397DE3">
      <w:pPr>
        <w:pStyle w:val="ListBullet"/>
        <w:rPr>
          <w:b/>
          <w:bCs/>
          <w:color w:val="FF0000"/>
        </w:rPr>
      </w:pPr>
      <w:r w:rsidRPr="00397DE3">
        <w:rPr>
          <w:b/>
          <w:bCs/>
          <w:color w:val="FF0000"/>
        </w:rPr>
        <w:lastRenderedPageBreak/>
        <w:t>What do you notice about the order of the fractions?</w:t>
      </w:r>
    </w:p>
    <w:tbl>
      <w:tblPr>
        <w:tblStyle w:val="Tableheader"/>
        <w:tblW w:w="0" w:type="auto"/>
        <w:tblLayout w:type="fixed"/>
        <w:tblLook w:val="0420" w:firstRow="1" w:lastRow="0" w:firstColumn="0" w:lastColumn="0" w:noHBand="0" w:noVBand="1"/>
        <w:tblDescription w:val="Anticipated responses and 'bounce' opportunities."/>
      </w:tblPr>
      <w:tblGrid>
        <w:gridCol w:w="7275"/>
        <w:gridCol w:w="7275"/>
      </w:tblGrid>
      <w:tr w:rsidR="00157D45" w14:paraId="75E1EE29" w14:textId="77777777" w:rsidTr="00416653">
        <w:trPr>
          <w:cnfStyle w:val="100000000000" w:firstRow="1" w:lastRow="0" w:firstColumn="0" w:lastColumn="0" w:oddVBand="0" w:evenVBand="0" w:oddHBand="0" w:evenHBand="0" w:firstRowFirstColumn="0" w:firstRowLastColumn="0" w:lastRowFirstColumn="0" w:lastRowLastColumn="0"/>
          <w:trHeight w:val="300"/>
        </w:trPr>
        <w:tc>
          <w:tcPr>
            <w:tcW w:w="7275" w:type="dxa"/>
          </w:tcPr>
          <w:p w14:paraId="1014B7E7" w14:textId="1234A58F" w:rsidR="00157D45" w:rsidRDefault="00157D45" w:rsidP="00416653">
            <w:pPr>
              <w:spacing w:before="240"/>
            </w:pPr>
            <w:r>
              <w:rPr>
                <w:rFonts w:eastAsia="Arial"/>
                <w:bCs/>
                <w:color w:val="FFFFFF" w:themeColor="background1"/>
              </w:rPr>
              <w:t>Anticipated response</w:t>
            </w:r>
            <w:r w:rsidR="00397DE3">
              <w:rPr>
                <w:rFonts w:eastAsia="Arial"/>
                <w:bCs/>
                <w:color w:val="FFFFFF" w:themeColor="background1"/>
              </w:rPr>
              <w:t>(</w:t>
            </w:r>
            <w:r>
              <w:rPr>
                <w:rFonts w:eastAsia="Arial"/>
                <w:bCs/>
                <w:color w:val="FFFFFF" w:themeColor="background1"/>
              </w:rPr>
              <w:t>s</w:t>
            </w:r>
            <w:r w:rsidR="00397DE3">
              <w:rPr>
                <w:rFonts w:eastAsia="Arial"/>
                <w:bCs/>
                <w:color w:val="FFFFFF" w:themeColor="background1"/>
              </w:rPr>
              <w:t>)</w:t>
            </w:r>
          </w:p>
        </w:tc>
        <w:tc>
          <w:tcPr>
            <w:tcW w:w="7275" w:type="dxa"/>
          </w:tcPr>
          <w:p w14:paraId="05DFCDAC" w14:textId="1D38EBE6" w:rsidR="00157D45" w:rsidRDefault="00157D45" w:rsidP="00416653">
            <w:pPr>
              <w:spacing w:before="240"/>
            </w:pPr>
            <w:r>
              <w:rPr>
                <w:rFonts w:eastAsia="Arial"/>
                <w:bCs/>
                <w:color w:val="FFFFFF" w:themeColor="background1"/>
              </w:rPr>
              <w:t>‘Bounce’ opportunities</w:t>
            </w:r>
          </w:p>
        </w:tc>
      </w:tr>
      <w:tr w:rsidR="00157D45" w14:paraId="6278DB07" w14:textId="77777777" w:rsidTr="00416653">
        <w:trPr>
          <w:cnfStyle w:val="000000100000" w:firstRow="0" w:lastRow="0" w:firstColumn="0" w:lastColumn="0" w:oddVBand="0" w:evenVBand="0" w:oddHBand="1" w:evenHBand="0" w:firstRowFirstColumn="0" w:firstRowLastColumn="0" w:lastRowFirstColumn="0" w:lastRowLastColumn="0"/>
          <w:trHeight w:val="300"/>
        </w:trPr>
        <w:tc>
          <w:tcPr>
            <w:tcW w:w="7275" w:type="dxa"/>
          </w:tcPr>
          <w:p w14:paraId="777AA150" w14:textId="021D0A1A" w:rsidR="00157D45" w:rsidRPr="009B1990" w:rsidRDefault="000953EC" w:rsidP="00157D45">
            <w:pPr>
              <w:pStyle w:val="ListBullet"/>
              <w:numPr>
                <w:ilvl w:val="0"/>
                <w:numId w:val="0"/>
              </w:numPr>
              <w:spacing w:before="240"/>
              <w:ind w:left="567" w:hanging="567"/>
              <w:rPr>
                <w:b/>
                <w:bCs/>
                <w:color w:val="E4163D"/>
              </w:rPr>
            </w:pPr>
            <w:r w:rsidRPr="009B1990">
              <w:rPr>
                <w:b/>
                <w:bCs/>
                <w:color w:val="E4163D"/>
              </w:rPr>
              <w:t>The larger denominators are smaller numbers.</w:t>
            </w:r>
          </w:p>
        </w:tc>
        <w:tc>
          <w:tcPr>
            <w:tcW w:w="7275" w:type="dxa"/>
          </w:tcPr>
          <w:p w14:paraId="6747FB6C" w14:textId="3C87FC46" w:rsidR="006E7948" w:rsidRPr="009B1990" w:rsidRDefault="006E7948" w:rsidP="006E7948">
            <w:pPr>
              <w:pStyle w:val="ListBullet"/>
              <w:rPr>
                <w:b/>
                <w:bCs/>
                <w:color w:val="E4163D"/>
              </w:rPr>
            </w:pPr>
            <w:r w:rsidRPr="009B1990">
              <w:rPr>
                <w:b/>
                <w:bCs/>
                <w:color w:val="E4163D"/>
              </w:rPr>
              <w:t>Do you agree?</w:t>
            </w:r>
            <w:r w:rsidR="54851BF9" w:rsidRPr="312FFE95">
              <w:rPr>
                <w:b/>
                <w:bCs/>
                <w:color w:val="E4163D"/>
              </w:rPr>
              <w:t xml:space="preserve"> Why</w:t>
            </w:r>
            <w:r w:rsidR="00397DE3">
              <w:rPr>
                <w:b/>
                <w:bCs/>
                <w:color w:val="E4163D"/>
              </w:rPr>
              <w:t xml:space="preserve"> or </w:t>
            </w:r>
            <w:r w:rsidR="54851BF9" w:rsidRPr="312FFE95">
              <w:rPr>
                <w:b/>
                <w:bCs/>
                <w:color w:val="E4163D"/>
              </w:rPr>
              <w:t>why not?</w:t>
            </w:r>
          </w:p>
          <w:p w14:paraId="23C456B5" w14:textId="367F70B1" w:rsidR="006E7948" w:rsidRPr="009B1990" w:rsidRDefault="006E7948" w:rsidP="006E7948">
            <w:pPr>
              <w:pStyle w:val="ListBullet"/>
              <w:rPr>
                <w:b/>
                <w:bCs/>
                <w:color w:val="E4163D"/>
              </w:rPr>
            </w:pPr>
            <w:r w:rsidRPr="009B1990">
              <w:rPr>
                <w:b/>
                <w:bCs/>
                <w:color w:val="E4163D"/>
              </w:rPr>
              <w:t>Is this always the case?</w:t>
            </w:r>
            <w:r w:rsidR="74012BE4" w:rsidRPr="312FFE95">
              <w:rPr>
                <w:b/>
                <w:bCs/>
                <w:color w:val="E4163D"/>
              </w:rPr>
              <w:t xml:space="preserve"> How do you know?</w:t>
            </w:r>
          </w:p>
          <w:p w14:paraId="64A67F91" w14:textId="4B9844E8" w:rsidR="00157D45" w:rsidRPr="009B1990" w:rsidRDefault="006E7948" w:rsidP="006E7948">
            <w:pPr>
              <w:pStyle w:val="ListBullet"/>
              <w:rPr>
                <w:b/>
                <w:bCs/>
                <w:color w:val="E4163D"/>
              </w:rPr>
            </w:pPr>
            <w:r w:rsidRPr="009B1990">
              <w:rPr>
                <w:b/>
                <w:bCs/>
                <w:color w:val="E4163D"/>
              </w:rPr>
              <w:t xml:space="preserve">Why is </w:t>
            </w:r>
            <m:oMath>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4</m:t>
                  </m:r>
                </m:den>
              </m:f>
            </m:oMath>
            <w:r w:rsidRPr="009B1990">
              <w:rPr>
                <w:b/>
                <w:bCs/>
                <w:color w:val="E4163D"/>
              </w:rPr>
              <w:t xml:space="preserve"> smaller than </w:t>
            </w:r>
            <m:oMath>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2</m:t>
                  </m:r>
                </m:den>
              </m:f>
            </m:oMath>
            <w:r w:rsidRPr="009B1990">
              <w:rPr>
                <w:b/>
                <w:bCs/>
                <w:color w:val="E4163D"/>
              </w:rPr>
              <w:t>?</w:t>
            </w:r>
          </w:p>
        </w:tc>
      </w:tr>
    </w:tbl>
    <w:p w14:paraId="70690575" w14:textId="66641E6D" w:rsidR="00633158" w:rsidRDefault="00633158" w:rsidP="00397DE3">
      <w:pPr>
        <w:pStyle w:val="ListBullet"/>
      </w:pPr>
      <w:r>
        <w:t>Which fractions were the easiest to mark?</w:t>
      </w:r>
    </w:p>
    <w:tbl>
      <w:tblPr>
        <w:tblStyle w:val="Tableheader"/>
        <w:tblW w:w="0" w:type="auto"/>
        <w:tblLayout w:type="fixed"/>
        <w:tblLook w:val="0420" w:firstRow="1" w:lastRow="0" w:firstColumn="0" w:lastColumn="0" w:noHBand="0" w:noVBand="1"/>
        <w:tblDescription w:val="Anticipated responses and 'bounce' opportunities."/>
      </w:tblPr>
      <w:tblGrid>
        <w:gridCol w:w="7275"/>
        <w:gridCol w:w="7275"/>
      </w:tblGrid>
      <w:tr w:rsidR="00026011" w14:paraId="6EDFD9FA" w14:textId="77777777" w:rsidTr="00416653">
        <w:trPr>
          <w:cnfStyle w:val="100000000000" w:firstRow="1" w:lastRow="0" w:firstColumn="0" w:lastColumn="0" w:oddVBand="0" w:evenVBand="0" w:oddHBand="0" w:evenHBand="0" w:firstRowFirstColumn="0" w:firstRowLastColumn="0" w:lastRowFirstColumn="0" w:lastRowLastColumn="0"/>
          <w:trHeight w:val="300"/>
        </w:trPr>
        <w:tc>
          <w:tcPr>
            <w:tcW w:w="7275" w:type="dxa"/>
          </w:tcPr>
          <w:p w14:paraId="61B8D00A" w14:textId="04FDF1FB" w:rsidR="00026011" w:rsidRDefault="00026011" w:rsidP="00416653">
            <w:pPr>
              <w:spacing w:before="240"/>
            </w:pPr>
            <w:r>
              <w:rPr>
                <w:rFonts w:eastAsia="Arial"/>
                <w:bCs/>
                <w:color w:val="FFFFFF" w:themeColor="background1"/>
              </w:rPr>
              <w:t>Anticipated response</w:t>
            </w:r>
            <w:r w:rsidR="00397DE3">
              <w:rPr>
                <w:rFonts w:eastAsia="Arial"/>
                <w:bCs/>
                <w:color w:val="FFFFFF" w:themeColor="background1"/>
              </w:rPr>
              <w:t>(</w:t>
            </w:r>
            <w:r>
              <w:rPr>
                <w:rFonts w:eastAsia="Arial"/>
                <w:bCs/>
                <w:color w:val="FFFFFF" w:themeColor="background1"/>
              </w:rPr>
              <w:t>s</w:t>
            </w:r>
            <w:r w:rsidR="00397DE3">
              <w:rPr>
                <w:rFonts w:eastAsia="Arial"/>
                <w:bCs/>
                <w:color w:val="FFFFFF" w:themeColor="background1"/>
              </w:rPr>
              <w:t>)</w:t>
            </w:r>
          </w:p>
        </w:tc>
        <w:tc>
          <w:tcPr>
            <w:tcW w:w="7275" w:type="dxa"/>
          </w:tcPr>
          <w:p w14:paraId="0A11FB3C" w14:textId="2BBE957F" w:rsidR="00026011" w:rsidRDefault="00026011" w:rsidP="00416653">
            <w:pPr>
              <w:spacing w:before="240"/>
            </w:pPr>
            <w:r>
              <w:rPr>
                <w:rFonts w:eastAsia="Arial"/>
                <w:bCs/>
                <w:color w:val="FFFFFF" w:themeColor="background1"/>
              </w:rPr>
              <w:t>‘Bounce’ opportunities</w:t>
            </w:r>
          </w:p>
        </w:tc>
      </w:tr>
      <w:tr w:rsidR="00026011" w14:paraId="7470BBAC" w14:textId="77777777" w:rsidTr="00416653">
        <w:trPr>
          <w:cnfStyle w:val="000000100000" w:firstRow="0" w:lastRow="0" w:firstColumn="0" w:lastColumn="0" w:oddVBand="0" w:evenVBand="0" w:oddHBand="1" w:evenHBand="0" w:firstRowFirstColumn="0" w:firstRowLastColumn="0" w:lastRowFirstColumn="0" w:lastRowLastColumn="0"/>
          <w:trHeight w:val="300"/>
        </w:trPr>
        <w:tc>
          <w:tcPr>
            <w:tcW w:w="7275" w:type="dxa"/>
          </w:tcPr>
          <w:p w14:paraId="1CBA39F8" w14:textId="23C4774A" w:rsidR="004D400F" w:rsidRPr="00397DE3" w:rsidRDefault="00000000" w:rsidP="004D400F">
            <w:pPr>
              <w:pStyle w:val="ListBullet"/>
              <w:numPr>
                <w:ilvl w:val="0"/>
                <w:numId w:val="0"/>
              </w:numPr>
              <w:spacing w:before="240"/>
              <w:rPr>
                <w:b/>
                <w:bCs/>
                <w:color w:val="E4163D"/>
              </w:rPr>
            </w:pPr>
            <m:oMathPara>
              <m:oMathParaPr>
                <m:jc m:val="left"/>
              </m:oMathParaPr>
              <m:oMath>
                <m:f>
                  <m:fPr>
                    <m:ctrlPr>
                      <w:rPr>
                        <w:rFonts w:ascii="Cambria Math" w:hAnsi="Cambria Math"/>
                        <w:b/>
                        <w:bCs/>
                        <w:i/>
                        <w:color w:val="E4163D"/>
                        <w:sz w:val="20"/>
                        <w:szCs w:val="20"/>
                      </w:rPr>
                    </m:ctrlPr>
                  </m:fPr>
                  <m:num>
                    <m:r>
                      <m:rPr>
                        <m:sty m:val="bi"/>
                      </m:rPr>
                      <w:rPr>
                        <w:rFonts w:ascii="Cambria Math" w:hAnsi="Cambria Math"/>
                        <w:color w:val="E4163D"/>
                        <w:sz w:val="20"/>
                        <w:szCs w:val="20"/>
                      </w:rPr>
                      <m:t>1</m:t>
                    </m:r>
                  </m:num>
                  <m:den>
                    <m:r>
                      <m:rPr>
                        <m:sty m:val="bi"/>
                      </m:rPr>
                      <w:rPr>
                        <w:rFonts w:ascii="Cambria Math" w:hAnsi="Cambria Math"/>
                        <w:color w:val="E4163D"/>
                        <w:sz w:val="20"/>
                        <w:szCs w:val="20"/>
                      </w:rPr>
                      <m:t>2</m:t>
                    </m:r>
                  </m:den>
                </m:f>
                <m:r>
                  <m:rPr>
                    <m:sty m:val="bi"/>
                  </m:rPr>
                  <w:rPr>
                    <w:rFonts w:ascii="Cambria Math" w:hAnsi="Cambria Math"/>
                    <w:color w:val="E4163D"/>
                    <w:sz w:val="20"/>
                    <w:szCs w:val="20"/>
                  </w:rPr>
                  <m:t>,</m:t>
                </m:r>
                <m:f>
                  <m:fPr>
                    <m:ctrlPr>
                      <w:rPr>
                        <w:rFonts w:ascii="Cambria Math" w:hAnsi="Cambria Math"/>
                        <w:b/>
                        <w:bCs/>
                        <w:i/>
                        <w:color w:val="E4163D"/>
                        <w:sz w:val="20"/>
                        <w:szCs w:val="20"/>
                      </w:rPr>
                    </m:ctrlPr>
                  </m:fPr>
                  <m:num>
                    <m:r>
                      <m:rPr>
                        <m:sty m:val="bi"/>
                      </m:rPr>
                      <w:rPr>
                        <w:rFonts w:ascii="Cambria Math" w:hAnsi="Cambria Math"/>
                        <w:color w:val="E4163D"/>
                        <w:sz w:val="20"/>
                        <w:szCs w:val="20"/>
                      </w:rPr>
                      <m:t>1</m:t>
                    </m:r>
                  </m:num>
                  <m:den>
                    <m:r>
                      <m:rPr>
                        <m:sty m:val="bi"/>
                      </m:rPr>
                      <w:rPr>
                        <w:rFonts w:ascii="Cambria Math" w:hAnsi="Cambria Math"/>
                        <w:color w:val="E4163D"/>
                        <w:sz w:val="20"/>
                        <w:szCs w:val="20"/>
                      </w:rPr>
                      <m:t>4</m:t>
                    </m:r>
                  </m:den>
                </m:f>
                <m:r>
                  <m:rPr>
                    <m:sty m:val="bi"/>
                  </m:rPr>
                  <w:rPr>
                    <w:rFonts w:ascii="Cambria Math" w:hAnsi="Cambria Math"/>
                    <w:color w:val="E4163D"/>
                    <w:sz w:val="20"/>
                    <w:szCs w:val="20"/>
                  </w:rPr>
                  <m:t>,</m:t>
                </m:r>
                <m:f>
                  <m:fPr>
                    <m:ctrlPr>
                      <w:rPr>
                        <w:rFonts w:ascii="Cambria Math" w:hAnsi="Cambria Math"/>
                        <w:b/>
                        <w:bCs/>
                        <w:i/>
                        <w:color w:val="E4163D"/>
                        <w:sz w:val="20"/>
                        <w:szCs w:val="20"/>
                      </w:rPr>
                    </m:ctrlPr>
                  </m:fPr>
                  <m:num>
                    <m:r>
                      <m:rPr>
                        <m:sty m:val="bi"/>
                      </m:rPr>
                      <w:rPr>
                        <w:rFonts w:ascii="Cambria Math" w:hAnsi="Cambria Math"/>
                        <w:color w:val="E4163D"/>
                        <w:sz w:val="20"/>
                        <w:szCs w:val="20"/>
                      </w:rPr>
                      <m:t>1</m:t>
                    </m:r>
                  </m:num>
                  <m:den>
                    <m:r>
                      <m:rPr>
                        <m:sty m:val="bi"/>
                      </m:rPr>
                      <w:rPr>
                        <w:rFonts w:ascii="Cambria Math" w:hAnsi="Cambria Math"/>
                        <w:color w:val="E4163D"/>
                        <w:sz w:val="20"/>
                        <w:szCs w:val="20"/>
                      </w:rPr>
                      <m:t>8</m:t>
                    </m:r>
                  </m:den>
                </m:f>
              </m:oMath>
            </m:oMathPara>
          </w:p>
        </w:tc>
        <w:tc>
          <w:tcPr>
            <w:tcW w:w="7275" w:type="dxa"/>
          </w:tcPr>
          <w:p w14:paraId="61107066" w14:textId="61882C21" w:rsidR="00280CCE" w:rsidRPr="00280CCE" w:rsidRDefault="00280CCE" w:rsidP="00280CCE">
            <w:pPr>
              <w:pStyle w:val="ListBullet"/>
              <w:rPr>
                <w:b/>
                <w:bCs/>
                <w:color w:val="E4163D"/>
              </w:rPr>
            </w:pPr>
            <w:r w:rsidRPr="00280CCE">
              <w:rPr>
                <w:b/>
                <w:bCs/>
                <w:color w:val="E4163D"/>
              </w:rPr>
              <w:t xml:space="preserve">Why would </w:t>
            </w:r>
            <w:r w:rsidR="00694E98">
              <w:rPr>
                <w:b/>
                <w:bCs/>
                <w:color w:val="E4163D"/>
              </w:rPr>
              <w:t>[</w:t>
            </w:r>
            <w:r w:rsidRPr="00280CCE">
              <w:rPr>
                <w:b/>
                <w:bCs/>
                <w:color w:val="E4163D"/>
              </w:rPr>
              <w:t>name</w:t>
            </w:r>
            <w:r w:rsidR="00694E98">
              <w:rPr>
                <w:b/>
                <w:bCs/>
                <w:color w:val="E4163D"/>
              </w:rPr>
              <w:t>]</w:t>
            </w:r>
            <w:r w:rsidRPr="00280CCE">
              <w:rPr>
                <w:b/>
                <w:bCs/>
                <w:color w:val="E4163D"/>
              </w:rPr>
              <w:t xml:space="preserve"> say these are the easiest to mark?</w:t>
            </w:r>
          </w:p>
          <w:p w14:paraId="0BEBE3E5" w14:textId="79EEB4B0" w:rsidR="00280CCE" w:rsidRPr="009B1990" w:rsidRDefault="00280CCE" w:rsidP="00280CCE">
            <w:pPr>
              <w:pStyle w:val="ListBullet"/>
              <w:rPr>
                <w:b/>
                <w:bCs/>
                <w:color w:val="E4163D"/>
              </w:rPr>
            </w:pPr>
            <w:r w:rsidRPr="00280CCE">
              <w:rPr>
                <w:b/>
                <w:bCs/>
                <w:color w:val="E4163D"/>
              </w:rPr>
              <w:t>Which fraction did you mark first?</w:t>
            </w:r>
            <w:r w:rsidR="20C59048" w:rsidRPr="312FFE95">
              <w:rPr>
                <w:b/>
                <w:bCs/>
                <w:color w:val="E4163D"/>
              </w:rPr>
              <w:t xml:space="preserve"> Why?</w:t>
            </w:r>
          </w:p>
          <w:p w14:paraId="2F4E932C" w14:textId="7E8D4062" w:rsidR="00026011" w:rsidRPr="009B1990" w:rsidRDefault="00280CCE" w:rsidP="00280CCE">
            <w:pPr>
              <w:pStyle w:val="ListBullet"/>
              <w:rPr>
                <w:color w:val="E4163D"/>
              </w:rPr>
            </w:pPr>
            <w:r w:rsidRPr="009B1990">
              <w:rPr>
                <w:b/>
                <w:bCs/>
                <w:color w:val="E4163D"/>
              </w:rPr>
              <w:t>What do these fractions have in common?</w:t>
            </w:r>
          </w:p>
        </w:tc>
      </w:tr>
    </w:tbl>
    <w:p w14:paraId="08035DAE" w14:textId="77777777" w:rsidR="00633158" w:rsidRDefault="00633158" w:rsidP="00D30990">
      <w:pPr>
        <w:pStyle w:val="ListNumber"/>
        <w:numPr>
          <w:ilvl w:val="0"/>
          <w:numId w:val="10"/>
        </w:numPr>
      </w:pPr>
      <w:r>
        <w:t xml:space="preserve">Why were some fractions easier to mark?  </w:t>
      </w:r>
    </w:p>
    <w:tbl>
      <w:tblPr>
        <w:tblStyle w:val="Tableheader"/>
        <w:tblW w:w="0" w:type="auto"/>
        <w:tblLayout w:type="fixed"/>
        <w:tblLook w:val="0420" w:firstRow="1" w:lastRow="0" w:firstColumn="0" w:lastColumn="0" w:noHBand="0" w:noVBand="1"/>
        <w:tblDescription w:val="Anticipated responses and 'bounce' opportunities."/>
      </w:tblPr>
      <w:tblGrid>
        <w:gridCol w:w="7275"/>
        <w:gridCol w:w="7275"/>
      </w:tblGrid>
      <w:tr w:rsidR="00B55555" w14:paraId="7C2B8E60" w14:textId="77777777" w:rsidTr="00416653">
        <w:trPr>
          <w:cnfStyle w:val="100000000000" w:firstRow="1" w:lastRow="0" w:firstColumn="0" w:lastColumn="0" w:oddVBand="0" w:evenVBand="0" w:oddHBand="0" w:evenHBand="0" w:firstRowFirstColumn="0" w:firstRowLastColumn="0" w:lastRowFirstColumn="0" w:lastRowLastColumn="0"/>
          <w:trHeight w:val="300"/>
        </w:trPr>
        <w:tc>
          <w:tcPr>
            <w:tcW w:w="7275" w:type="dxa"/>
          </w:tcPr>
          <w:p w14:paraId="681C4902" w14:textId="658B312A" w:rsidR="00B55555" w:rsidRDefault="00B55555" w:rsidP="00416653">
            <w:pPr>
              <w:spacing w:before="240"/>
            </w:pPr>
            <w:r>
              <w:rPr>
                <w:rFonts w:eastAsia="Arial"/>
                <w:bCs/>
                <w:color w:val="FFFFFF" w:themeColor="background1"/>
              </w:rPr>
              <w:t>Anticipated response</w:t>
            </w:r>
            <w:r w:rsidR="00397DE3">
              <w:rPr>
                <w:rFonts w:eastAsia="Arial"/>
                <w:bCs/>
                <w:color w:val="FFFFFF" w:themeColor="background1"/>
              </w:rPr>
              <w:t>(s)</w:t>
            </w:r>
          </w:p>
        </w:tc>
        <w:tc>
          <w:tcPr>
            <w:tcW w:w="7275" w:type="dxa"/>
          </w:tcPr>
          <w:p w14:paraId="2029BC5A" w14:textId="27EA146A" w:rsidR="00B55555" w:rsidRDefault="00B55555" w:rsidP="00416653">
            <w:pPr>
              <w:spacing w:before="240"/>
            </w:pPr>
            <w:r>
              <w:rPr>
                <w:rFonts w:eastAsia="Arial"/>
                <w:bCs/>
                <w:color w:val="FFFFFF" w:themeColor="background1"/>
              </w:rPr>
              <w:t>‘Bounce’ opportunities</w:t>
            </w:r>
          </w:p>
        </w:tc>
      </w:tr>
      <w:tr w:rsidR="00B55555" w14:paraId="45C0099A" w14:textId="77777777" w:rsidTr="00416653">
        <w:trPr>
          <w:cnfStyle w:val="000000100000" w:firstRow="0" w:lastRow="0" w:firstColumn="0" w:lastColumn="0" w:oddVBand="0" w:evenVBand="0" w:oddHBand="1" w:evenHBand="0" w:firstRowFirstColumn="0" w:firstRowLastColumn="0" w:lastRowFirstColumn="0" w:lastRowLastColumn="0"/>
          <w:trHeight w:val="300"/>
        </w:trPr>
        <w:tc>
          <w:tcPr>
            <w:tcW w:w="7275" w:type="dxa"/>
          </w:tcPr>
          <w:p w14:paraId="2E01F63B" w14:textId="691D4644" w:rsidR="00B55555" w:rsidRPr="009B1990" w:rsidRDefault="00000000" w:rsidP="00416653">
            <w:pPr>
              <w:pStyle w:val="ListBullet"/>
              <w:numPr>
                <w:ilvl w:val="0"/>
                <w:numId w:val="0"/>
              </w:numPr>
              <w:spacing w:before="240"/>
              <w:ind w:left="567" w:hanging="567"/>
              <w:rPr>
                <w:color w:val="E4163D"/>
              </w:rPr>
            </w:pPr>
            <m:oMath>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2</m:t>
                  </m:r>
                </m:den>
              </m:f>
              <m:r>
                <m:rPr>
                  <m:sty m:val="bi"/>
                </m:rPr>
                <w:rPr>
                  <w:rFonts w:ascii="Cambria Math" w:hAnsi="Cambria Math"/>
                  <w:color w:val="E4163D"/>
                </w:rPr>
                <m:t>,</m:t>
              </m:r>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4</m:t>
                  </m:r>
                </m:den>
              </m:f>
              <m:r>
                <m:rPr>
                  <m:sty m:val="bi"/>
                </m:rPr>
                <w:rPr>
                  <w:rFonts w:ascii="Cambria Math" w:hAnsi="Cambria Math"/>
                  <w:color w:val="E4163D"/>
                </w:rPr>
                <m:t>,</m:t>
              </m:r>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8</m:t>
                  </m:r>
                </m:den>
              </m:f>
            </m:oMath>
            <w:r w:rsidR="00367384" w:rsidRPr="009B1990">
              <w:rPr>
                <w:b/>
                <w:bCs/>
                <w:color w:val="E4163D"/>
              </w:rPr>
              <w:t xml:space="preserve"> were easier to mark because each was halfway of a section of the number line. </w:t>
            </w:r>
          </w:p>
        </w:tc>
        <w:tc>
          <w:tcPr>
            <w:tcW w:w="7275" w:type="dxa"/>
          </w:tcPr>
          <w:p w14:paraId="2326FAAC" w14:textId="77777777" w:rsidR="00B55555" w:rsidRPr="009B1990" w:rsidRDefault="00367384" w:rsidP="009E5B8A">
            <w:pPr>
              <w:pStyle w:val="ListBullet"/>
              <w:numPr>
                <w:ilvl w:val="0"/>
                <w:numId w:val="16"/>
              </w:numPr>
              <w:ind w:left="546" w:hanging="546"/>
              <w:rPr>
                <w:rFonts w:eastAsiaTheme="minorEastAsia"/>
                <w:b/>
                <w:bCs/>
                <w:color w:val="E4163D"/>
              </w:rPr>
            </w:pPr>
            <w:r w:rsidRPr="009B1990">
              <w:rPr>
                <w:b/>
                <w:bCs/>
                <w:color w:val="E4163D"/>
              </w:rPr>
              <w:t>How would you ma</w:t>
            </w:r>
            <w:r w:rsidR="0082743F" w:rsidRPr="009B1990">
              <w:rPr>
                <w:b/>
                <w:bCs/>
                <w:color w:val="E4163D"/>
              </w:rPr>
              <w:t xml:space="preserve">rk </w:t>
            </w:r>
            <m:oMath>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16</m:t>
                  </m:r>
                </m:den>
              </m:f>
            </m:oMath>
            <w:r w:rsidR="0092689A" w:rsidRPr="009B1990">
              <w:rPr>
                <w:rFonts w:eastAsiaTheme="minorEastAsia"/>
                <w:b/>
                <w:bCs/>
                <w:color w:val="E4163D"/>
              </w:rPr>
              <w:t>?</w:t>
            </w:r>
          </w:p>
          <w:p w14:paraId="3A2B011D" w14:textId="1ED68FC0" w:rsidR="0092689A" w:rsidRPr="009B1990" w:rsidRDefault="0092689A" w:rsidP="009E5B8A">
            <w:pPr>
              <w:pStyle w:val="ListBullet"/>
              <w:numPr>
                <w:ilvl w:val="0"/>
                <w:numId w:val="16"/>
              </w:numPr>
              <w:ind w:left="546" w:hanging="546"/>
              <w:rPr>
                <w:rFonts w:eastAsiaTheme="minorEastAsia"/>
                <w:b/>
                <w:bCs/>
                <w:color w:val="E4163D"/>
              </w:rPr>
            </w:pPr>
            <w:r w:rsidRPr="009B1990">
              <w:rPr>
                <w:b/>
                <w:bCs/>
                <w:color w:val="E4163D"/>
              </w:rPr>
              <w:t xml:space="preserve">How did you mark </w:t>
            </w:r>
            <m:oMath>
              <m:f>
                <m:fPr>
                  <m:ctrlPr>
                    <w:rPr>
                      <w:rFonts w:ascii="Cambria Math" w:hAnsi="Cambria Math"/>
                      <w:b/>
                      <w:bCs/>
                      <w:i/>
                      <w:color w:val="E4163D"/>
                    </w:rPr>
                  </m:ctrlPr>
                </m:fPr>
                <m:num>
                  <m:r>
                    <m:rPr>
                      <m:sty m:val="bi"/>
                    </m:rPr>
                    <w:rPr>
                      <w:rFonts w:ascii="Cambria Math" w:hAnsi="Cambria Math"/>
                      <w:color w:val="E4163D"/>
                    </w:rPr>
                    <m:t>3</m:t>
                  </m:r>
                </m:num>
                <m:den>
                  <m:r>
                    <m:rPr>
                      <m:sty m:val="bi"/>
                    </m:rPr>
                    <w:rPr>
                      <w:rFonts w:ascii="Cambria Math" w:hAnsi="Cambria Math"/>
                      <w:color w:val="E4163D"/>
                    </w:rPr>
                    <m:t>4</m:t>
                  </m:r>
                </m:den>
              </m:f>
            </m:oMath>
            <w:r w:rsidR="001566C8" w:rsidRPr="009B1990">
              <w:rPr>
                <w:rFonts w:eastAsiaTheme="minorEastAsia"/>
                <w:b/>
                <w:bCs/>
                <w:color w:val="E4163D"/>
              </w:rPr>
              <w:t>?</w:t>
            </w:r>
          </w:p>
          <w:p w14:paraId="4D97B4E3" w14:textId="77777777" w:rsidR="001566C8" w:rsidRDefault="001566C8" w:rsidP="009E5B8A">
            <w:pPr>
              <w:pStyle w:val="ListBullet"/>
              <w:numPr>
                <w:ilvl w:val="0"/>
                <w:numId w:val="16"/>
              </w:numPr>
              <w:ind w:left="546" w:hanging="546"/>
              <w:rPr>
                <w:rFonts w:eastAsiaTheme="minorEastAsia"/>
                <w:b/>
                <w:bCs/>
                <w:color w:val="E4163D"/>
              </w:rPr>
            </w:pPr>
            <w:r w:rsidRPr="009B1990">
              <w:rPr>
                <w:b/>
                <w:bCs/>
                <w:color w:val="E4163D"/>
              </w:rPr>
              <w:lastRenderedPageBreak/>
              <w:t xml:space="preserve">How could we mark 1 </w:t>
            </w:r>
            <m:oMath>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4</m:t>
                  </m:r>
                </m:den>
              </m:f>
            </m:oMath>
            <w:r w:rsidRPr="009B1990">
              <w:rPr>
                <w:rFonts w:eastAsiaTheme="minorEastAsia"/>
                <w:b/>
                <w:bCs/>
                <w:color w:val="E4163D"/>
              </w:rPr>
              <w:t>?</w:t>
            </w:r>
          </w:p>
          <w:p w14:paraId="1C500AEE" w14:textId="314522D5" w:rsidR="00B04D05" w:rsidRPr="00340C4F" w:rsidRDefault="00B04D05" w:rsidP="009E5B8A">
            <w:pPr>
              <w:pStyle w:val="ListBullet"/>
              <w:numPr>
                <w:ilvl w:val="0"/>
                <w:numId w:val="16"/>
              </w:numPr>
              <w:ind w:left="546" w:hanging="546"/>
              <w:rPr>
                <w:rFonts w:eastAsiaTheme="minorEastAsia"/>
                <w:b/>
                <w:bCs/>
                <w:color w:val="E4163D"/>
              </w:rPr>
            </w:pPr>
            <w:r>
              <w:rPr>
                <w:b/>
                <w:bCs/>
                <w:color w:val="E4163D"/>
              </w:rPr>
              <w:t>What do you notice about each of the denominators</w:t>
            </w:r>
            <w:r w:rsidRPr="00B04D05">
              <w:rPr>
                <w:rFonts w:eastAsiaTheme="minorEastAsia"/>
                <w:b/>
                <w:bCs/>
                <w:color w:val="E4163D"/>
              </w:rPr>
              <w:t>?</w:t>
            </w:r>
          </w:p>
        </w:tc>
      </w:tr>
    </w:tbl>
    <w:p w14:paraId="042D9F93" w14:textId="77777777" w:rsidR="00633158" w:rsidRDefault="00633158" w:rsidP="00D30990">
      <w:pPr>
        <w:pStyle w:val="ListNumber"/>
        <w:numPr>
          <w:ilvl w:val="0"/>
          <w:numId w:val="10"/>
        </w:numPr>
      </w:pPr>
      <w:r>
        <w:lastRenderedPageBreak/>
        <w:t xml:space="preserve">Which fractions were more difficult to mark?  </w:t>
      </w:r>
    </w:p>
    <w:tbl>
      <w:tblPr>
        <w:tblStyle w:val="Tableheader"/>
        <w:tblW w:w="0" w:type="auto"/>
        <w:tblLayout w:type="fixed"/>
        <w:tblLook w:val="0420" w:firstRow="1" w:lastRow="0" w:firstColumn="0" w:lastColumn="0" w:noHBand="0" w:noVBand="1"/>
        <w:tblDescription w:val="Anticipated responses and 'bounce' opportunities."/>
      </w:tblPr>
      <w:tblGrid>
        <w:gridCol w:w="7275"/>
        <w:gridCol w:w="7275"/>
      </w:tblGrid>
      <w:tr w:rsidR="00B55555" w14:paraId="54C527D7" w14:textId="77777777" w:rsidTr="00416653">
        <w:trPr>
          <w:cnfStyle w:val="100000000000" w:firstRow="1" w:lastRow="0" w:firstColumn="0" w:lastColumn="0" w:oddVBand="0" w:evenVBand="0" w:oddHBand="0" w:evenHBand="0" w:firstRowFirstColumn="0" w:firstRowLastColumn="0" w:lastRowFirstColumn="0" w:lastRowLastColumn="0"/>
          <w:trHeight w:val="300"/>
        </w:trPr>
        <w:tc>
          <w:tcPr>
            <w:tcW w:w="7275" w:type="dxa"/>
          </w:tcPr>
          <w:p w14:paraId="1AF14738" w14:textId="4BE0896D" w:rsidR="00B55555" w:rsidRDefault="00B55555" w:rsidP="00416653">
            <w:pPr>
              <w:spacing w:before="240"/>
            </w:pPr>
            <w:r>
              <w:rPr>
                <w:rFonts w:eastAsia="Arial"/>
                <w:bCs/>
                <w:color w:val="FFFFFF" w:themeColor="background1"/>
              </w:rPr>
              <w:t>Anticipated response</w:t>
            </w:r>
            <w:r w:rsidR="00397DE3">
              <w:rPr>
                <w:rFonts w:eastAsia="Arial"/>
                <w:bCs/>
                <w:color w:val="FFFFFF" w:themeColor="background1"/>
              </w:rPr>
              <w:t>(s)</w:t>
            </w:r>
          </w:p>
        </w:tc>
        <w:tc>
          <w:tcPr>
            <w:tcW w:w="7275" w:type="dxa"/>
          </w:tcPr>
          <w:p w14:paraId="3545E093" w14:textId="0BAD254E" w:rsidR="00B55555" w:rsidRDefault="00B55555" w:rsidP="00416653">
            <w:pPr>
              <w:spacing w:before="240"/>
            </w:pPr>
            <w:r>
              <w:rPr>
                <w:rFonts w:eastAsia="Arial"/>
                <w:bCs/>
                <w:color w:val="FFFFFF" w:themeColor="background1"/>
              </w:rPr>
              <w:t>‘Bounce’ opportunities</w:t>
            </w:r>
          </w:p>
        </w:tc>
      </w:tr>
      <w:tr w:rsidR="00B55555" w14:paraId="690BBD12" w14:textId="77777777" w:rsidTr="00416653">
        <w:trPr>
          <w:cnfStyle w:val="000000100000" w:firstRow="0" w:lastRow="0" w:firstColumn="0" w:lastColumn="0" w:oddVBand="0" w:evenVBand="0" w:oddHBand="1" w:evenHBand="0" w:firstRowFirstColumn="0" w:firstRowLastColumn="0" w:lastRowFirstColumn="0" w:lastRowLastColumn="0"/>
          <w:trHeight w:val="300"/>
        </w:trPr>
        <w:tc>
          <w:tcPr>
            <w:tcW w:w="7275" w:type="dxa"/>
          </w:tcPr>
          <w:p w14:paraId="2A96450A" w14:textId="668F63C4" w:rsidR="00B55555" w:rsidRPr="00694E98" w:rsidRDefault="00000000" w:rsidP="00694E98">
            <w:pPr>
              <w:rPr>
                <w:b/>
                <w:bCs/>
                <w:color w:val="000000" w:themeColor="text1"/>
              </w:rPr>
            </w:pPr>
            <m:oMathPara>
              <m:oMathParaPr>
                <m:jc m:val="left"/>
              </m:oMathParaPr>
              <m:oMath>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3</m:t>
                    </m:r>
                  </m:den>
                </m:f>
                <m:r>
                  <m:rPr>
                    <m:sty m:val="bi"/>
                  </m:rPr>
                  <w:rPr>
                    <w:rFonts w:ascii="Cambria Math" w:hAnsi="Cambria Math"/>
                    <w:color w:val="E4163D"/>
                  </w:rPr>
                  <m:t>,</m:t>
                </m:r>
                <m:f>
                  <m:fPr>
                    <m:ctrlPr>
                      <w:rPr>
                        <w:rFonts w:ascii="Cambria Math" w:hAnsi="Cambria Math"/>
                        <w:b/>
                        <w:bCs/>
                        <w:i/>
                        <w:color w:val="E4163D"/>
                      </w:rPr>
                    </m:ctrlPr>
                  </m:fPr>
                  <m:num>
                    <m:r>
                      <m:rPr>
                        <m:sty m:val="bi"/>
                      </m:rPr>
                      <w:rPr>
                        <w:rFonts w:ascii="Cambria Math" w:hAnsi="Cambria Math"/>
                        <w:color w:val="E4163D"/>
                      </w:rPr>
                      <m:t>3</m:t>
                    </m:r>
                  </m:num>
                  <m:den>
                    <m:r>
                      <m:rPr>
                        <m:sty m:val="bi"/>
                      </m:rPr>
                      <w:rPr>
                        <w:rFonts w:ascii="Cambria Math" w:hAnsi="Cambria Math"/>
                        <w:color w:val="E4163D"/>
                      </w:rPr>
                      <m:t>11</m:t>
                    </m:r>
                  </m:den>
                </m:f>
              </m:oMath>
            </m:oMathPara>
          </w:p>
        </w:tc>
        <w:tc>
          <w:tcPr>
            <w:tcW w:w="7275" w:type="dxa"/>
          </w:tcPr>
          <w:p w14:paraId="2316DB3E" w14:textId="77777777" w:rsidR="00622D05" w:rsidRPr="00622D05" w:rsidRDefault="00622D05" w:rsidP="00622D05">
            <w:pPr>
              <w:pStyle w:val="ListBullet"/>
              <w:rPr>
                <w:b/>
                <w:bCs/>
                <w:color w:val="E4163D"/>
              </w:rPr>
            </w:pPr>
            <w:r w:rsidRPr="00622D05">
              <w:rPr>
                <w:b/>
                <w:bCs/>
                <w:color w:val="E4163D"/>
              </w:rPr>
              <w:t>Do you agree?</w:t>
            </w:r>
          </w:p>
          <w:p w14:paraId="61E3539E" w14:textId="717D8CE3" w:rsidR="00B55555" w:rsidRPr="00622D05" w:rsidRDefault="00622D05" w:rsidP="00622D05">
            <w:pPr>
              <w:pStyle w:val="ListBullet"/>
              <w:rPr>
                <w:b/>
                <w:bCs/>
                <w:color w:val="E4163D"/>
              </w:rPr>
            </w:pPr>
            <w:r w:rsidRPr="00622D05">
              <w:rPr>
                <w:b/>
                <w:bCs/>
                <w:color w:val="E4163D"/>
              </w:rPr>
              <w:t xml:space="preserve">What makes these fractions different to </w:t>
            </w:r>
            <m:oMath>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2</m:t>
                  </m:r>
                </m:den>
              </m:f>
              <m:r>
                <m:rPr>
                  <m:sty m:val="bi"/>
                </m:rPr>
                <w:rPr>
                  <w:rFonts w:ascii="Cambria Math" w:hAnsi="Cambria Math"/>
                  <w:color w:val="E4163D"/>
                </w:rPr>
                <m:t>,</m:t>
              </m:r>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4</m:t>
                  </m:r>
                </m:den>
              </m:f>
              <m:r>
                <m:rPr>
                  <m:sty m:val="bi"/>
                </m:rPr>
                <w:rPr>
                  <w:rFonts w:ascii="Cambria Math" w:hAnsi="Cambria Math"/>
                  <w:color w:val="E4163D"/>
                </w:rPr>
                <m:t>,</m:t>
              </m:r>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8</m:t>
                  </m:r>
                </m:den>
              </m:f>
            </m:oMath>
            <w:r w:rsidRPr="00622D05">
              <w:rPr>
                <w:b/>
                <w:bCs/>
                <w:color w:val="E4163D"/>
              </w:rPr>
              <w:t>?</w:t>
            </w:r>
          </w:p>
        </w:tc>
      </w:tr>
    </w:tbl>
    <w:p w14:paraId="654F8931" w14:textId="09CC2C69" w:rsidR="00633158" w:rsidRDefault="00633158" w:rsidP="00D30990">
      <w:pPr>
        <w:pStyle w:val="ListNumber"/>
        <w:numPr>
          <w:ilvl w:val="0"/>
          <w:numId w:val="10"/>
        </w:numPr>
      </w:pPr>
      <w:r>
        <w:t>Why were some fractions more difficult to mark?</w:t>
      </w:r>
    </w:p>
    <w:tbl>
      <w:tblPr>
        <w:tblStyle w:val="Tableheader"/>
        <w:tblW w:w="0" w:type="auto"/>
        <w:tblLayout w:type="fixed"/>
        <w:tblLook w:val="0420" w:firstRow="1" w:lastRow="0" w:firstColumn="0" w:lastColumn="0" w:noHBand="0" w:noVBand="1"/>
        <w:tblDescription w:val="Anticipated responses and 'bounce' opportunities."/>
      </w:tblPr>
      <w:tblGrid>
        <w:gridCol w:w="7275"/>
        <w:gridCol w:w="7275"/>
      </w:tblGrid>
      <w:tr w:rsidR="00B55555" w14:paraId="3BF4FECF" w14:textId="77777777" w:rsidTr="00416653">
        <w:trPr>
          <w:cnfStyle w:val="100000000000" w:firstRow="1" w:lastRow="0" w:firstColumn="0" w:lastColumn="0" w:oddVBand="0" w:evenVBand="0" w:oddHBand="0" w:evenHBand="0" w:firstRowFirstColumn="0" w:firstRowLastColumn="0" w:lastRowFirstColumn="0" w:lastRowLastColumn="0"/>
          <w:trHeight w:val="300"/>
        </w:trPr>
        <w:tc>
          <w:tcPr>
            <w:tcW w:w="7275" w:type="dxa"/>
          </w:tcPr>
          <w:p w14:paraId="5B5C2386" w14:textId="5A1C531B" w:rsidR="00B55555" w:rsidRDefault="00B55555" w:rsidP="00416653">
            <w:pPr>
              <w:spacing w:before="240"/>
            </w:pPr>
            <w:r>
              <w:rPr>
                <w:rFonts w:eastAsia="Arial"/>
                <w:bCs/>
                <w:color w:val="FFFFFF" w:themeColor="background1"/>
              </w:rPr>
              <w:t>Anticipated response</w:t>
            </w:r>
            <w:r w:rsidR="00397DE3">
              <w:rPr>
                <w:rFonts w:eastAsia="Arial"/>
                <w:bCs/>
                <w:color w:val="FFFFFF" w:themeColor="background1"/>
              </w:rPr>
              <w:t>(s)</w:t>
            </w:r>
          </w:p>
        </w:tc>
        <w:tc>
          <w:tcPr>
            <w:tcW w:w="7275" w:type="dxa"/>
          </w:tcPr>
          <w:p w14:paraId="78CBC296" w14:textId="0C7CD14B" w:rsidR="00B55555" w:rsidRDefault="00B55555" w:rsidP="00416653">
            <w:pPr>
              <w:spacing w:before="240"/>
            </w:pPr>
            <w:r>
              <w:rPr>
                <w:rFonts w:eastAsia="Arial"/>
                <w:bCs/>
                <w:color w:val="FFFFFF" w:themeColor="background1"/>
              </w:rPr>
              <w:t>‘Bounce’ opportunities</w:t>
            </w:r>
          </w:p>
        </w:tc>
      </w:tr>
      <w:tr w:rsidR="00B55555" w14:paraId="01A2323C" w14:textId="77777777" w:rsidTr="00416653">
        <w:trPr>
          <w:cnfStyle w:val="000000100000" w:firstRow="0" w:lastRow="0" w:firstColumn="0" w:lastColumn="0" w:oddVBand="0" w:evenVBand="0" w:oddHBand="1" w:evenHBand="0" w:firstRowFirstColumn="0" w:firstRowLastColumn="0" w:lastRowFirstColumn="0" w:lastRowLastColumn="0"/>
          <w:trHeight w:val="300"/>
        </w:trPr>
        <w:tc>
          <w:tcPr>
            <w:tcW w:w="7275" w:type="dxa"/>
          </w:tcPr>
          <w:p w14:paraId="40E03107" w14:textId="664EE473" w:rsidR="00B55555" w:rsidRDefault="00000000" w:rsidP="00763AFC">
            <w:pPr>
              <w:pStyle w:val="ListBullet"/>
              <w:numPr>
                <w:ilvl w:val="0"/>
                <w:numId w:val="0"/>
              </w:numPr>
              <w:spacing w:before="240"/>
              <w:rPr>
                <w:color w:val="000000" w:themeColor="text1"/>
              </w:rPr>
            </w:pPr>
            <m:oMath>
              <m:f>
                <m:fPr>
                  <m:ctrlPr>
                    <w:rPr>
                      <w:rFonts w:ascii="Cambria Math" w:hAnsi="Cambria Math"/>
                      <w:b/>
                      <w:bCs/>
                      <w:i/>
                      <w:color w:val="D7153A"/>
                    </w:rPr>
                  </m:ctrlPr>
                </m:fPr>
                <m:num>
                  <m:r>
                    <m:rPr>
                      <m:sty m:val="bi"/>
                    </m:rPr>
                    <w:rPr>
                      <w:rFonts w:ascii="Cambria Math" w:hAnsi="Cambria Math"/>
                      <w:color w:val="D7153A"/>
                    </w:rPr>
                    <m:t>1</m:t>
                  </m:r>
                </m:num>
                <m:den>
                  <m:r>
                    <m:rPr>
                      <m:sty m:val="bi"/>
                    </m:rPr>
                    <w:rPr>
                      <w:rFonts w:ascii="Cambria Math" w:hAnsi="Cambria Math"/>
                      <w:color w:val="D7153A"/>
                    </w:rPr>
                    <m:t>3</m:t>
                  </m:r>
                </m:den>
              </m:f>
              <m:r>
                <m:rPr>
                  <m:sty m:val="bi"/>
                </m:rPr>
                <w:rPr>
                  <w:rFonts w:ascii="Cambria Math" w:hAnsi="Cambria Math"/>
                  <w:color w:val="D7153A"/>
                </w:rPr>
                <m:t>,</m:t>
              </m:r>
              <m:f>
                <m:fPr>
                  <m:ctrlPr>
                    <w:rPr>
                      <w:rFonts w:ascii="Cambria Math" w:hAnsi="Cambria Math"/>
                      <w:b/>
                      <w:bCs/>
                      <w:i/>
                      <w:color w:val="D7153A"/>
                    </w:rPr>
                  </m:ctrlPr>
                </m:fPr>
                <m:num>
                  <m:r>
                    <m:rPr>
                      <m:sty m:val="bi"/>
                    </m:rPr>
                    <w:rPr>
                      <w:rFonts w:ascii="Cambria Math" w:hAnsi="Cambria Math"/>
                      <w:color w:val="D7153A"/>
                    </w:rPr>
                    <m:t>3</m:t>
                  </m:r>
                </m:num>
                <m:den>
                  <m:r>
                    <m:rPr>
                      <m:sty m:val="bi"/>
                    </m:rPr>
                    <w:rPr>
                      <w:rFonts w:ascii="Cambria Math" w:hAnsi="Cambria Math"/>
                      <w:color w:val="D7153A"/>
                    </w:rPr>
                    <m:t>11</m:t>
                  </m:r>
                </m:den>
              </m:f>
            </m:oMath>
            <w:r w:rsidR="00763AFC" w:rsidRPr="00763AFC">
              <w:rPr>
                <w:b/>
                <w:bCs/>
                <w:color w:val="D7153A"/>
              </w:rPr>
              <w:t xml:space="preserve"> were difficult to mark because we couldn’t use the existing fractions to help.</w:t>
            </w:r>
          </w:p>
        </w:tc>
        <w:tc>
          <w:tcPr>
            <w:tcW w:w="7275" w:type="dxa"/>
          </w:tcPr>
          <w:p w14:paraId="199AA798" w14:textId="77777777" w:rsidR="009E5B8A" w:rsidRPr="009E5B8A" w:rsidRDefault="009E5B8A" w:rsidP="009E5B8A">
            <w:pPr>
              <w:pStyle w:val="ListBullet"/>
              <w:rPr>
                <w:b/>
                <w:bCs/>
                <w:color w:val="E4163D"/>
              </w:rPr>
            </w:pPr>
            <w:r w:rsidRPr="009E5B8A">
              <w:rPr>
                <w:b/>
                <w:bCs/>
                <w:color w:val="E4163D"/>
              </w:rPr>
              <w:t>How did you go about marking them?</w:t>
            </w:r>
          </w:p>
          <w:p w14:paraId="5D1C3D4C" w14:textId="5224F27A" w:rsidR="009E5B8A" w:rsidRPr="009E5B8A" w:rsidRDefault="009E5B8A" w:rsidP="009E5B8A">
            <w:pPr>
              <w:pStyle w:val="ListBullet"/>
              <w:rPr>
                <w:b/>
                <w:bCs/>
                <w:color w:val="E4163D"/>
              </w:rPr>
            </w:pPr>
            <w:r w:rsidRPr="009E5B8A">
              <w:rPr>
                <w:b/>
                <w:bCs/>
                <w:color w:val="E4163D"/>
              </w:rPr>
              <w:t xml:space="preserve">Why is it difficult to compare </w:t>
            </w:r>
            <m:oMath>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4</m:t>
                  </m:r>
                </m:den>
              </m:f>
            </m:oMath>
            <w:r w:rsidRPr="009E5B8A">
              <w:rPr>
                <w:b/>
                <w:bCs/>
                <w:color w:val="E4163D"/>
              </w:rPr>
              <w:t xml:space="preserve"> and </w:t>
            </w:r>
            <m:oMath>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3</m:t>
                  </m:r>
                </m:den>
              </m:f>
            </m:oMath>
            <w:r w:rsidRPr="009E5B8A">
              <w:rPr>
                <w:b/>
                <w:bCs/>
                <w:color w:val="E4163D"/>
              </w:rPr>
              <w:t>?</w:t>
            </w:r>
          </w:p>
          <w:p w14:paraId="73C5AD9C" w14:textId="386E359C" w:rsidR="00B55555" w:rsidRPr="00B04D05" w:rsidRDefault="009E5B8A" w:rsidP="00B04D05">
            <w:pPr>
              <w:pStyle w:val="ListBullet"/>
              <w:rPr>
                <w:b/>
                <w:bCs/>
                <w:color w:val="E4163D"/>
              </w:rPr>
            </w:pPr>
            <w:r w:rsidRPr="009E5B8A">
              <w:rPr>
                <w:b/>
                <w:bCs/>
                <w:color w:val="E4163D"/>
              </w:rPr>
              <w:t xml:space="preserve">How did you use </w:t>
            </w:r>
            <m:oMath>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3</m:t>
                  </m:r>
                </m:den>
              </m:f>
            </m:oMath>
            <w:r w:rsidRPr="009E5B8A">
              <w:rPr>
                <w:b/>
                <w:bCs/>
                <w:color w:val="E4163D"/>
              </w:rPr>
              <w:t xml:space="preserve"> to help mark </w:t>
            </w:r>
            <m:oMath>
              <m:f>
                <m:fPr>
                  <m:ctrlPr>
                    <w:rPr>
                      <w:rFonts w:ascii="Cambria Math" w:hAnsi="Cambria Math"/>
                      <w:b/>
                      <w:bCs/>
                      <w:i/>
                      <w:color w:val="E4163D"/>
                    </w:rPr>
                  </m:ctrlPr>
                </m:fPr>
                <m:num>
                  <m:r>
                    <m:rPr>
                      <m:sty m:val="bi"/>
                    </m:rPr>
                    <w:rPr>
                      <w:rFonts w:ascii="Cambria Math" w:hAnsi="Cambria Math"/>
                      <w:color w:val="E4163D"/>
                    </w:rPr>
                    <m:t>1</m:t>
                  </m:r>
                </m:num>
                <m:den>
                  <m:r>
                    <m:rPr>
                      <m:sty m:val="bi"/>
                    </m:rPr>
                    <w:rPr>
                      <w:rFonts w:ascii="Cambria Math" w:hAnsi="Cambria Math"/>
                      <w:color w:val="E4163D"/>
                    </w:rPr>
                    <m:t>6</m:t>
                  </m:r>
                </m:den>
              </m:f>
            </m:oMath>
            <w:r w:rsidRPr="009E5B8A">
              <w:rPr>
                <w:b/>
                <w:bCs/>
                <w:color w:val="E4163D"/>
              </w:rPr>
              <w:t>?</w:t>
            </w:r>
          </w:p>
        </w:tc>
      </w:tr>
    </w:tbl>
    <w:p w14:paraId="22904271" w14:textId="6537C353" w:rsidR="6066974A" w:rsidRPr="004C739F" w:rsidRDefault="6066974A" w:rsidP="00715891">
      <w:pPr>
        <w:pStyle w:val="FeatureBox"/>
      </w:pPr>
      <w:r w:rsidRPr="00715891">
        <w:rPr>
          <w:b/>
          <w:bCs/>
        </w:rPr>
        <w:t>N</w:t>
      </w:r>
      <w:r w:rsidR="00715891" w:rsidRPr="00715891">
        <w:rPr>
          <w:b/>
          <w:bCs/>
        </w:rPr>
        <w:t>ote</w:t>
      </w:r>
      <w:r w:rsidRPr="00715891">
        <w:rPr>
          <w:b/>
          <w:bCs/>
        </w:rPr>
        <w:t>:</w:t>
      </w:r>
      <w:r w:rsidRPr="004C739F">
        <w:t xml:space="preserve"> </w:t>
      </w:r>
      <w:r w:rsidR="008B1799">
        <w:t xml:space="preserve">observations of student responses can be </w:t>
      </w:r>
      <w:r w:rsidR="00607E68">
        <w:t>recorded anecdotally</w:t>
      </w:r>
      <w:r w:rsidR="005F5662">
        <w:t xml:space="preserve"> to inform</w:t>
      </w:r>
      <w:r w:rsidR="00304835">
        <w:t xml:space="preserve"> future planning and differentiation opportunities.</w:t>
      </w:r>
    </w:p>
    <w:p w14:paraId="27FCC77D" w14:textId="05995ACE" w:rsidR="35FFE7A2" w:rsidRDefault="3C7600C4" w:rsidP="1ADE8DCC">
      <w:pPr>
        <w:pStyle w:val="FeatureBox2"/>
      </w:pPr>
      <w:r>
        <w:lastRenderedPageBreak/>
        <w:t>[</w:t>
      </w:r>
      <w:r w:rsidR="00694E98">
        <w:t>L</w:t>
      </w:r>
      <w:r>
        <w:t>esson continues as is</w:t>
      </w:r>
      <w:r w:rsidR="00694E98">
        <w:t xml:space="preserve"> </w:t>
      </w:r>
      <w:r>
        <w:t>...]</w:t>
      </w:r>
    </w:p>
    <w:p w14:paraId="01B4565D" w14:textId="7746275D" w:rsidR="009A323E" w:rsidRDefault="009A323E">
      <w:pPr>
        <w:suppressAutoHyphens w:val="0"/>
        <w:spacing w:after="0" w:line="276" w:lineRule="auto"/>
      </w:pPr>
      <w:r>
        <w:br w:type="page"/>
      </w:r>
    </w:p>
    <w:p w14:paraId="7CEAD283" w14:textId="77777777" w:rsidR="009A323E" w:rsidRDefault="009A323E" w:rsidP="009A323E">
      <w:pPr>
        <w:pStyle w:val="Heading2"/>
      </w:pPr>
      <w:bookmarkStart w:id="2" w:name="_Toc149036890"/>
      <w:r w:rsidRPr="00C41110">
        <w:lastRenderedPageBreak/>
        <w:t>References</w:t>
      </w:r>
      <w:bookmarkEnd w:id="2"/>
    </w:p>
    <w:p w14:paraId="579AF84E" w14:textId="77777777" w:rsidR="009A323E" w:rsidRPr="00AE7FE3" w:rsidRDefault="009A323E" w:rsidP="009A323E">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F34A6F8" w14:textId="77777777" w:rsidR="009A323E" w:rsidRPr="00AE7FE3" w:rsidRDefault="009A323E" w:rsidP="009A323E">
      <w:pPr>
        <w:pStyle w:val="FeatureBox2"/>
      </w:pPr>
      <w:r w:rsidRPr="00AE7FE3">
        <w:t>Please refer to the NESA Copyright Disclaimer for more information</w:t>
      </w:r>
      <w:r>
        <w:t xml:space="preserve"> </w:t>
      </w:r>
      <w:hyperlink r:id="rId14" w:tgtFrame="_blank" w:tooltip="https://educationstandards.nsw.edu.au/wps/portal/nesa/mini-footer/copyright" w:history="1">
        <w:r w:rsidRPr="00AE7FE3">
          <w:rPr>
            <w:rStyle w:val="Hyperlink"/>
          </w:rPr>
          <w:t>https://educationstandards.nsw.edu.au/wps/portal/nesa/mini-footer/copyright</w:t>
        </w:r>
      </w:hyperlink>
      <w:r w:rsidRPr="00A1020E">
        <w:t>.</w:t>
      </w:r>
    </w:p>
    <w:p w14:paraId="51F661BE" w14:textId="77777777" w:rsidR="009A323E" w:rsidRDefault="009A323E" w:rsidP="009A323E">
      <w:pPr>
        <w:pStyle w:val="FeatureBox2"/>
      </w:pPr>
      <w:r w:rsidRPr="00AE7FE3">
        <w:t>NESA holds the only official and up-to-date versions of the NSW Curriculum and syllabus documents. Please visit the NSW Education Standards Authority (NESA) website</w:t>
      </w:r>
      <w:r>
        <w:t xml:space="preserve"> </w:t>
      </w:r>
      <w:hyperlink r:id="rId15" w:history="1">
        <w:r w:rsidRPr="004C354B">
          <w:rPr>
            <w:rStyle w:val="Hyperlink"/>
          </w:rPr>
          <w:t>https://educationstandards.nsw.edu.au</w:t>
        </w:r>
      </w:hyperlink>
      <w:r w:rsidRPr="00A1020E">
        <w:t xml:space="preserve"> </w:t>
      </w:r>
      <w:r w:rsidRPr="00AE7FE3">
        <w:t xml:space="preserve">and the NSW Curriculum website </w:t>
      </w:r>
      <w:hyperlink r:id="rId16" w:history="1">
        <w:r>
          <w:rPr>
            <w:rStyle w:val="Hyperlink"/>
          </w:rPr>
          <w:t>https://curriculum.nsw.edu.au</w:t>
        </w:r>
      </w:hyperlink>
      <w:r w:rsidRPr="00AE7FE3">
        <w:t>.</w:t>
      </w:r>
    </w:p>
    <w:p w14:paraId="7410945B" w14:textId="372E6510" w:rsidR="009A323E" w:rsidRDefault="00513105" w:rsidP="009A323E">
      <w:hyperlink r:id="rId17" w:history="1">
        <w:r w:rsidRPr="00513105">
          <w:rPr>
            <w:rStyle w:val="Hyperlink"/>
          </w:rPr>
          <w:t>Mathematics K</w:t>
        </w:r>
        <w:r w:rsidR="00397DE3">
          <w:rPr>
            <w:rStyle w:val="Hyperlink"/>
          </w:rPr>
          <w:t>–</w:t>
        </w:r>
        <w:r w:rsidRPr="00513105">
          <w:rPr>
            <w:rStyle w:val="Hyperlink"/>
          </w:rPr>
          <w:t>10 Syllabus</w:t>
        </w:r>
      </w:hyperlink>
      <w:r w:rsidR="009A323E">
        <w:t xml:space="preserve"> © NSW </w:t>
      </w:r>
      <w:r w:rsidR="009A323E" w:rsidRPr="001476BC">
        <w:t>Education</w:t>
      </w:r>
      <w:r w:rsidR="009A323E">
        <w:t xml:space="preserve"> Standards Authority (NESA) for and on behalf of the Crown in right of the State of New South Wales, 2022.</w:t>
      </w:r>
    </w:p>
    <w:p w14:paraId="3B185B33" w14:textId="77777777" w:rsidR="009A323E" w:rsidRDefault="009A323E" w:rsidP="009A323E">
      <w:pPr>
        <w:sectPr w:rsidR="009A323E" w:rsidSect="009A323E">
          <w:headerReference w:type="default" r:id="rId18"/>
          <w:footerReference w:type="default" r:id="rId19"/>
          <w:headerReference w:type="first" r:id="rId20"/>
          <w:footerReference w:type="first" r:id="rId21"/>
          <w:pgSz w:w="16838" w:h="11906" w:orient="landscape"/>
          <w:pgMar w:top="1134" w:right="1134" w:bottom="1134" w:left="1134" w:header="709" w:footer="709" w:gutter="0"/>
          <w:pgNumType w:start="1"/>
          <w:cols w:space="708"/>
          <w:titlePg/>
          <w:docGrid w:linePitch="360"/>
        </w:sectPr>
      </w:pPr>
    </w:p>
    <w:p w14:paraId="306F7BFC" w14:textId="77777777" w:rsidR="009A323E" w:rsidRPr="00E80FFD" w:rsidRDefault="009A323E" w:rsidP="009A323E">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3FF43ED3" w14:textId="77777777" w:rsidR="009A323E" w:rsidRPr="00E80FFD" w:rsidRDefault="009A323E" w:rsidP="009A323E">
      <w:r>
        <w:t xml:space="preserve">The copyright material </w:t>
      </w:r>
      <w:r w:rsidRPr="00E80FFD">
        <w:t>published</w:t>
      </w:r>
      <w:r>
        <w:t xml:space="preserve"> in this resource is subject to the </w:t>
      </w:r>
      <w:r w:rsidRPr="0055147F">
        <w:rPr>
          <w:rStyle w:val="Emphasi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w:t>
      </w:r>
      <w:r w:rsidRPr="00E80FFD">
        <w:t>he NSW Department of Education (third-party material).</w:t>
      </w:r>
    </w:p>
    <w:p w14:paraId="181AFB0C" w14:textId="77777777" w:rsidR="009A323E" w:rsidRDefault="009A323E" w:rsidP="009A323E">
      <w:r w:rsidRPr="00E80FFD">
        <w:t>Copyright material available in this resource</w:t>
      </w:r>
      <w:r>
        <w:t xml:space="preserve"> and owned by the NSW Department of Education is licensed under a </w:t>
      </w:r>
      <w:hyperlink r:id="rId22" w:history="1">
        <w:r w:rsidRPr="003B3E41">
          <w:rPr>
            <w:rStyle w:val="Hyperlink"/>
          </w:rPr>
          <w:t>Creative Commons Attribution 4.0 International (CC BY 4.0) license</w:t>
        </w:r>
      </w:hyperlink>
      <w:r>
        <w:t>.</w:t>
      </w:r>
    </w:p>
    <w:p w14:paraId="5E1DBF65" w14:textId="77777777" w:rsidR="009A323E" w:rsidRDefault="009A323E" w:rsidP="009A323E">
      <w:pPr>
        <w:spacing w:line="276" w:lineRule="auto"/>
      </w:pPr>
      <w:r>
        <w:rPr>
          <w:noProof/>
        </w:rPr>
        <w:drawing>
          <wp:inline distT="0" distB="0" distL="0" distR="0" wp14:anchorId="3789F508" wp14:editId="428A0966">
            <wp:extent cx="1228725" cy="428625"/>
            <wp:effectExtent l="0" t="0" r="9525" b="9525"/>
            <wp:docPr id="32" name="Picture 32" descr="Creative Commons Attribution license log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6445CD5" w14:textId="77777777" w:rsidR="009A323E" w:rsidRPr="00E80FFD" w:rsidRDefault="009A323E" w:rsidP="009A323E">
      <w:r w:rsidRPr="002D3434">
        <w:t xml:space="preserve">This license allows you to share and </w:t>
      </w:r>
      <w:r w:rsidRPr="00E80FFD">
        <w:t>adapt the material for any purpose, even commercially.</w:t>
      </w:r>
    </w:p>
    <w:p w14:paraId="77AA3ABB" w14:textId="77777777" w:rsidR="009A323E" w:rsidRPr="00E80FFD" w:rsidRDefault="009A323E" w:rsidP="009A323E">
      <w:r w:rsidRPr="00E80FFD">
        <w:t>Attribution should be given to © State of New South Wales (Department of Education), 202</w:t>
      </w:r>
      <w:r>
        <w:t>4</w:t>
      </w:r>
      <w:r w:rsidRPr="00E80FFD">
        <w:t>.</w:t>
      </w:r>
    </w:p>
    <w:p w14:paraId="589C1297" w14:textId="77777777" w:rsidR="009A323E" w:rsidRPr="002D3434" w:rsidRDefault="009A323E" w:rsidP="009A323E">
      <w:r w:rsidRPr="00E80FFD">
        <w:t>Material in this resource not available</w:t>
      </w:r>
      <w:r w:rsidRPr="002D3434">
        <w:t xml:space="preserve"> under a Creative Commons license:</w:t>
      </w:r>
    </w:p>
    <w:p w14:paraId="76821207" w14:textId="77777777" w:rsidR="009A323E" w:rsidRPr="002D3434" w:rsidRDefault="009A323E" w:rsidP="00D30990">
      <w:pPr>
        <w:pStyle w:val="ListBullet"/>
        <w:numPr>
          <w:ilvl w:val="0"/>
          <w:numId w:val="2"/>
        </w:numPr>
        <w:spacing w:line="276" w:lineRule="auto"/>
        <w:contextualSpacing/>
      </w:pPr>
      <w:r w:rsidRPr="002D3434">
        <w:t>the NSW Department of Education logo, other logos and trademark-protected material</w:t>
      </w:r>
    </w:p>
    <w:p w14:paraId="76FA9B50" w14:textId="77777777" w:rsidR="009A323E" w:rsidRPr="002D3434" w:rsidRDefault="009A323E" w:rsidP="00D30990">
      <w:pPr>
        <w:pStyle w:val="ListBullet"/>
        <w:numPr>
          <w:ilvl w:val="0"/>
          <w:numId w:val="2"/>
        </w:numPr>
        <w:spacing w:line="276" w:lineRule="auto"/>
        <w:contextualSpacing/>
      </w:pPr>
      <w:r w:rsidRPr="002D3434">
        <w:t>material owned by a third party that has been reproduced with permission. You will need to obtain permission from the third party to reuse its material</w:t>
      </w:r>
      <w:r>
        <w:t>.</w:t>
      </w:r>
    </w:p>
    <w:p w14:paraId="0725472C" w14:textId="77777777" w:rsidR="009A323E" w:rsidRPr="003B3E41" w:rsidRDefault="009A323E" w:rsidP="009A323E">
      <w:pPr>
        <w:pStyle w:val="FeatureBox2"/>
        <w:spacing w:line="276" w:lineRule="auto"/>
        <w:rPr>
          <w:rStyle w:val="Strong"/>
        </w:rPr>
      </w:pPr>
      <w:r w:rsidRPr="003B3E41">
        <w:rPr>
          <w:rStyle w:val="Strong"/>
        </w:rPr>
        <w:t>Links to third-party material and websites</w:t>
      </w:r>
    </w:p>
    <w:p w14:paraId="3C28273F" w14:textId="77777777" w:rsidR="009A323E" w:rsidRDefault="009A323E" w:rsidP="009A323E">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9611837" w14:textId="6F5F8245" w:rsidR="1770FFD8" w:rsidRDefault="009A323E" w:rsidP="009A323E">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5147F">
        <w:rPr>
          <w:rStyle w:val="Emphasis"/>
        </w:rPr>
        <w:t>Copyright Act 1968</w:t>
      </w:r>
      <w:r>
        <w:t xml:space="preserve"> (</w:t>
      </w:r>
      <w:proofErr w:type="spellStart"/>
      <w:r>
        <w:t>Cth</w:t>
      </w:r>
      <w:proofErr w:type="spellEnd"/>
      <w:r>
        <w:t>). The department accepts no responsibility for content on third-party websites.</w:t>
      </w:r>
    </w:p>
    <w:sectPr w:rsidR="1770FFD8" w:rsidSect="009A323E">
      <w:headerReference w:type="default" r:id="rId24"/>
      <w:footerReference w:type="even" r:id="rId25"/>
      <w:footerReference w:type="default" r:id="rId26"/>
      <w:headerReference w:type="first" r:id="rId27"/>
      <w:footerReference w:type="first" r:id="rId28"/>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2989E" w14:textId="77777777" w:rsidR="005829F9" w:rsidRDefault="005829F9" w:rsidP="00191F45">
      <w:r>
        <w:separator/>
      </w:r>
    </w:p>
    <w:p w14:paraId="22E5E6A7" w14:textId="77777777" w:rsidR="005829F9" w:rsidRDefault="005829F9"/>
    <w:p w14:paraId="68CE54E1" w14:textId="77777777" w:rsidR="005829F9" w:rsidRDefault="005829F9"/>
    <w:p w14:paraId="4E9B2F21" w14:textId="77777777" w:rsidR="005829F9" w:rsidRDefault="005829F9"/>
  </w:endnote>
  <w:endnote w:type="continuationSeparator" w:id="0">
    <w:p w14:paraId="6DBDCECA" w14:textId="77777777" w:rsidR="005829F9" w:rsidRDefault="005829F9" w:rsidP="00191F45">
      <w:r>
        <w:continuationSeparator/>
      </w:r>
    </w:p>
    <w:p w14:paraId="25B31CA3" w14:textId="77777777" w:rsidR="005829F9" w:rsidRDefault="005829F9"/>
    <w:p w14:paraId="635E596D" w14:textId="77777777" w:rsidR="005829F9" w:rsidRDefault="005829F9"/>
    <w:p w14:paraId="35999DFD" w14:textId="77777777" w:rsidR="005829F9" w:rsidRDefault="005829F9"/>
  </w:endnote>
  <w:endnote w:type="continuationNotice" w:id="1">
    <w:p w14:paraId="257F4588" w14:textId="77777777" w:rsidR="005829F9" w:rsidRDefault="005829F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A4320" w14:textId="2C5448D1" w:rsidR="009A323E" w:rsidRPr="00123A38" w:rsidRDefault="009A323E" w:rsidP="00843DF5">
    <w:pPr>
      <w:pStyle w:val="Footer"/>
    </w:pPr>
    <w:r>
      <w:t xml:space="preserve">© NSW Department of Education, </w:t>
    </w:r>
    <w:r>
      <w:fldChar w:fldCharType="begin"/>
    </w:r>
    <w:r>
      <w:instrText xml:space="preserve"> DATE  \@ "MMM-yy"  \* MERGEFORMAT </w:instrText>
    </w:r>
    <w:r>
      <w:fldChar w:fldCharType="separate"/>
    </w:r>
    <w:r w:rsidR="00D538EC">
      <w:rPr>
        <w:noProof/>
      </w:rPr>
      <w:t>Nov-24</w:t>
    </w:r>
    <w:r>
      <w:fldChar w:fldCharType="end"/>
    </w:r>
    <w:r>
      <w:ptab w:relativeTo="margin" w:alignment="right" w:leader="none"/>
    </w:r>
    <w:r>
      <w:rPr>
        <w:b/>
        <w:noProof/>
        <w:sz w:val="28"/>
        <w:szCs w:val="28"/>
      </w:rPr>
      <w:drawing>
        <wp:inline distT="0" distB="0" distL="0" distR="0" wp14:anchorId="7931A06D" wp14:editId="7FE45DBF">
          <wp:extent cx="571500" cy="190500"/>
          <wp:effectExtent l="0" t="0" r="0" b="0"/>
          <wp:docPr id="1661262715" name="Picture 166126271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97A83" w14:textId="77777777" w:rsidR="009A323E" w:rsidRDefault="009A323E"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137F" w14:textId="77777777" w:rsidR="007A3356" w:rsidRPr="004D333E" w:rsidRDefault="004D333E"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24041A">
      <w:rPr>
        <w:noProof/>
      </w:rPr>
      <w:t>2</w:t>
    </w:r>
    <w:r w:rsidRPr="002810D3">
      <w:rPr>
        <w:color w:val="2B579A"/>
        <w:shd w:val="clear" w:color="auto" w:fill="E6E6E6"/>
      </w:rPr>
      <w:fldChar w:fldCharType="end"/>
    </w:r>
    <w:r w:rsidRPr="002810D3">
      <w:tab/>
    </w:r>
    <w:r>
      <w:t>Replace with name of document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16C5" w14:textId="3C4C2C67" w:rsidR="007A3356" w:rsidRPr="004D333E" w:rsidRDefault="009A323E" w:rsidP="004D333E">
    <w:pPr>
      <w:pStyle w:val="Footer"/>
    </w:pPr>
    <w:r w:rsidRPr="004F233B">
      <w:t xml:space="preserve">© NSW Department of Education, </w:t>
    </w:r>
    <w:r w:rsidRPr="004F233B">
      <w:fldChar w:fldCharType="begin"/>
    </w:r>
    <w:r w:rsidRPr="004F233B">
      <w:instrText xml:space="preserve"> DATE  \@ "MMM-yy"  \* MERGEFORMAT </w:instrText>
    </w:r>
    <w:r w:rsidRPr="004F233B">
      <w:fldChar w:fldCharType="separate"/>
    </w:r>
    <w:r w:rsidR="00D538EC">
      <w:rPr>
        <w:noProof/>
      </w:rPr>
      <w:t>Nov-24</w:t>
    </w:r>
    <w:r w:rsidRPr="004F233B">
      <w:fldChar w:fldCharType="end"/>
    </w:r>
    <w:r w:rsidRPr="004F233B">
      <w:ptab w:relativeTo="margin" w:alignment="right" w:leader="none"/>
    </w:r>
    <w:r w:rsidRPr="004F233B">
      <w:rPr>
        <w:noProof/>
      </w:rPr>
      <w:drawing>
        <wp:inline distT="0" distB="0" distL="0" distR="0" wp14:anchorId="486BF8BB" wp14:editId="71320B67">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AA08" w14:textId="0F28EBAB" w:rsidR="00493120" w:rsidRPr="009A323E" w:rsidRDefault="00493120" w:rsidP="009A323E">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678D4" w14:textId="77777777" w:rsidR="005829F9" w:rsidRDefault="005829F9" w:rsidP="00191F45">
      <w:r>
        <w:separator/>
      </w:r>
    </w:p>
    <w:p w14:paraId="3E76562D" w14:textId="77777777" w:rsidR="005829F9" w:rsidRDefault="005829F9"/>
    <w:p w14:paraId="5CD4CB2C" w14:textId="77777777" w:rsidR="005829F9" w:rsidRDefault="005829F9"/>
    <w:p w14:paraId="6A83341E" w14:textId="77777777" w:rsidR="005829F9" w:rsidRDefault="005829F9"/>
  </w:footnote>
  <w:footnote w:type="continuationSeparator" w:id="0">
    <w:p w14:paraId="5268DCBB" w14:textId="77777777" w:rsidR="005829F9" w:rsidRDefault="005829F9" w:rsidP="00191F45">
      <w:r>
        <w:continuationSeparator/>
      </w:r>
    </w:p>
    <w:p w14:paraId="1BE8D0A5" w14:textId="77777777" w:rsidR="005829F9" w:rsidRDefault="005829F9"/>
    <w:p w14:paraId="4D991432" w14:textId="77777777" w:rsidR="005829F9" w:rsidRDefault="005829F9"/>
    <w:p w14:paraId="04A89C3B" w14:textId="77777777" w:rsidR="005829F9" w:rsidRDefault="005829F9"/>
  </w:footnote>
  <w:footnote w:type="continuationNotice" w:id="1">
    <w:p w14:paraId="2DF60455" w14:textId="77777777" w:rsidR="005829F9" w:rsidRDefault="005829F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0953A" w14:textId="07A3A77C" w:rsidR="009A323E" w:rsidRDefault="00E34778" w:rsidP="0055252E">
    <w:pPr>
      <w:pStyle w:val="Documentname"/>
    </w:pPr>
    <w:r w:rsidRPr="00E34778">
      <w:t xml:space="preserve">Resource in focus – Mathematics – Stage </w:t>
    </w:r>
    <w:r w:rsidR="006D7DC8">
      <w:t>4</w:t>
    </w:r>
    <w:r>
      <w:t xml:space="preserve"> </w:t>
    </w:r>
    <w:r w:rsidR="009A323E" w:rsidRPr="00D2403C">
      <w:t xml:space="preserve">| </w:t>
    </w:r>
    <w:r w:rsidR="009A323E">
      <w:fldChar w:fldCharType="begin"/>
    </w:r>
    <w:r w:rsidR="009A323E">
      <w:instrText xml:space="preserve"> PAGE   \* MERGEFORMAT </w:instrText>
    </w:r>
    <w:r w:rsidR="009A323E">
      <w:fldChar w:fldCharType="separate"/>
    </w:r>
    <w:r w:rsidR="009A323E">
      <w:t>1</w:t>
    </w:r>
    <w:r w:rsidR="009A323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6CD58" w14:textId="77777777" w:rsidR="009A323E" w:rsidRPr="00FA6449" w:rsidRDefault="009A323E" w:rsidP="00843DF5">
    <w:pPr>
      <w:pStyle w:val="Header"/>
    </w:pPr>
    <w:r w:rsidRPr="009D43DD">
      <mc:AlternateContent>
        <mc:Choice Requires="wps">
          <w:drawing>
            <wp:anchor distT="0" distB="0" distL="114300" distR="114300" simplePos="0" relativeHeight="251658240" behindDoc="1" locked="0" layoutInCell="1" allowOverlap="1" wp14:anchorId="76ED54CE" wp14:editId="09DB5CBF">
              <wp:simplePos x="0" y="0"/>
              <wp:positionH relativeFrom="column">
                <wp:posOffset>-2542540</wp:posOffset>
              </wp:positionH>
              <wp:positionV relativeFrom="paragraph">
                <wp:posOffset>-450215</wp:posOffset>
              </wp:positionV>
              <wp:extent cx="12587844" cy="2711450"/>
              <wp:effectExtent l="0" t="0" r="4445" b="0"/>
              <wp:wrapNone/>
              <wp:docPr id="1847945596" name="Rectangle 18479455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EC5D2F" w14:textId="77777777" w:rsidR="009A323E" w:rsidRDefault="009A323E"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D54CE" id="Rectangle 184794559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0EC5D2F" w14:textId="77777777" w:rsidR="009A323E" w:rsidRDefault="009A323E"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3F81D33E" wp14:editId="7291D2C7">
          <wp:extent cx="597741" cy="649155"/>
          <wp:effectExtent l="0" t="0" r="0" b="0"/>
          <wp:docPr id="507668115" name="Graphic 507668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D70D" w14:textId="3718C78A" w:rsidR="009A323E" w:rsidRDefault="009A323E" w:rsidP="009A323E">
    <w:pPr>
      <w:pStyle w:val="Documentname"/>
    </w:pPr>
    <w:r w:rsidRPr="004F233B">
      <w:t>Mathematics Stage 3 – Unit 1</w:t>
    </w:r>
    <w:r>
      <w:t xml:space="preserve"> </w:t>
    </w:r>
    <w:r w:rsidRPr="004F233B">
      <w:t xml:space="preserve">| </w:t>
    </w:r>
    <w:r w:rsidRPr="004F233B">
      <w:fldChar w:fldCharType="begin"/>
    </w:r>
    <w:r w:rsidRPr="004F233B">
      <w:instrText xml:space="preserve"> PAGE   \* MERGEFORMAT </w:instrText>
    </w:r>
    <w:r w:rsidRPr="004F233B">
      <w:fldChar w:fldCharType="separate"/>
    </w:r>
    <w:r>
      <w:t>12</w:t>
    </w:r>
    <w:r w:rsidRPr="004F233B">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BC8A" w14:textId="01EE49D0" w:rsidR="00493120" w:rsidRPr="009A323E" w:rsidRDefault="00493120" w:rsidP="009A323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6E6CB770"/>
    <w:lvl w:ilvl="0">
      <w:start w:val="1"/>
      <w:numFmt w:val="decimal"/>
      <w:lvlText w:val="%1."/>
      <w:lvlJc w:val="left"/>
      <w:pPr>
        <w:tabs>
          <w:tab w:val="num" w:pos="360"/>
        </w:tabs>
        <w:ind w:left="360" w:hanging="360"/>
      </w:pPr>
    </w:lvl>
  </w:abstractNum>
  <w:abstractNum w:abstractNumId="2" w15:restartNumberingAfterBreak="0">
    <w:nsid w:val="11FD54B6"/>
    <w:multiLevelType w:val="hybridMultilevel"/>
    <w:tmpl w:val="2E90D70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C71595F"/>
    <w:multiLevelType w:val="multilevel"/>
    <w:tmpl w:val="4162D0B0"/>
    <w:lvl w:ilvl="0">
      <w:start w:val="1"/>
      <w:numFmt w:val="bullet"/>
      <w:pStyle w:val="ListBullet"/>
      <w:lvlText w:val=""/>
      <w:lvlJc w:val="left"/>
      <w:pPr>
        <w:ind w:left="567" w:hanging="567"/>
      </w:pPr>
      <w:rPr>
        <w:rFonts w:ascii="Symbol" w:hAnsi="Symbol" w:hint="default"/>
        <w:b/>
        <w:bCs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356CC6E6"/>
    <w:lvl w:ilvl="0">
      <w:start w:val="1"/>
      <w:numFmt w:val="decimal"/>
      <w:pStyle w:val="ListNumber"/>
      <w:lvlText w:val="%1."/>
      <w:lvlJc w:val="left"/>
      <w:pPr>
        <w:ind w:left="567" w:hanging="567"/>
      </w:pPr>
      <w:rPr>
        <w:rFonts w:hint="default"/>
        <w:b w:val="0"/>
        <w:b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FA7710"/>
    <w:multiLevelType w:val="multilevel"/>
    <w:tmpl w:val="BC8E49D6"/>
    <w:lvl w:ilvl="0">
      <w:start w:val="1"/>
      <w:numFmt w:val="bullet"/>
      <w:lvlText w:val=""/>
      <w:lvlJc w:val="left"/>
      <w:pPr>
        <w:ind w:left="567" w:hanging="56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9E3281D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2743EB"/>
    <w:multiLevelType w:val="hybridMultilevel"/>
    <w:tmpl w:val="51F21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B32F94"/>
    <w:multiLevelType w:val="multilevel"/>
    <w:tmpl w:val="DD5C97A2"/>
    <w:lvl w:ilvl="0">
      <w:start w:val="1"/>
      <w:numFmt w:val="bullet"/>
      <w:lvlText w:val=""/>
      <w:lvlJc w:val="left"/>
      <w:pPr>
        <w:ind w:left="567" w:hanging="56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71A535F"/>
    <w:multiLevelType w:val="multilevel"/>
    <w:tmpl w:val="DD5C97A2"/>
    <w:lvl w:ilvl="0">
      <w:start w:val="1"/>
      <w:numFmt w:val="bullet"/>
      <w:lvlText w:val=""/>
      <w:lvlJc w:val="left"/>
      <w:pPr>
        <w:ind w:left="567" w:hanging="56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6993DE0"/>
    <w:multiLevelType w:val="multilevel"/>
    <w:tmpl w:val="411AEF1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F653760"/>
    <w:multiLevelType w:val="multilevel"/>
    <w:tmpl w:val="C7C6ACEA"/>
    <w:lvl w:ilvl="0">
      <w:start w:val="1"/>
      <w:numFmt w:val="bullet"/>
      <w:lvlText w:val="o"/>
      <w:lvlJc w:val="left"/>
      <w:pPr>
        <w:ind w:left="567" w:hanging="567"/>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52400295">
    <w:abstractNumId w:val="6"/>
  </w:num>
  <w:num w:numId="2" w16cid:durableId="1508522982">
    <w:abstractNumId w:val="3"/>
  </w:num>
  <w:num w:numId="3" w16cid:durableId="1706101995">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1196701401">
    <w:abstractNumId w:val="0"/>
  </w:num>
  <w:num w:numId="5" w16cid:durableId="1710378181">
    <w:abstractNumId w:val="3"/>
  </w:num>
  <w:num w:numId="6" w16cid:durableId="1384209644">
    <w:abstractNumId w:val="11"/>
  </w:num>
  <w:num w:numId="7" w16cid:durableId="43606122">
    <w:abstractNumId w:val="4"/>
  </w:num>
  <w:num w:numId="8" w16cid:durableId="492260843">
    <w:abstractNumId w:val="10"/>
  </w:num>
  <w:num w:numId="9" w16cid:durableId="1721981751">
    <w:abstractNumId w:val="4"/>
    <w:lvlOverride w:ilvl="0">
      <w:startOverride w:val="3"/>
    </w:lvlOverride>
  </w:num>
  <w:num w:numId="10" w16cid:durableId="586773396">
    <w:abstractNumId w:val="9"/>
  </w:num>
  <w:num w:numId="11" w16cid:durableId="879167178">
    <w:abstractNumId w:val="2"/>
  </w:num>
  <w:num w:numId="12" w16cid:durableId="39789574">
    <w:abstractNumId w:val="1"/>
  </w:num>
  <w:num w:numId="13" w16cid:durableId="1652522061">
    <w:abstractNumId w:val="5"/>
  </w:num>
  <w:num w:numId="14" w16cid:durableId="321813720">
    <w:abstractNumId w:val="1"/>
  </w:num>
  <w:num w:numId="15" w16cid:durableId="783816614">
    <w:abstractNumId w:val="12"/>
  </w:num>
  <w:num w:numId="16" w16cid:durableId="976180741">
    <w:abstractNumId w:val="8"/>
  </w:num>
  <w:num w:numId="17" w16cid:durableId="679894248">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8" w16cid:durableId="1765492298">
    <w:abstractNumId w:val="0"/>
  </w:num>
  <w:num w:numId="19" w16cid:durableId="930815673">
    <w:abstractNumId w:val="3"/>
  </w:num>
  <w:num w:numId="20" w16cid:durableId="1472166753">
    <w:abstractNumId w:val="11"/>
  </w:num>
  <w:num w:numId="21" w16cid:durableId="371000652">
    <w:abstractNumId w:val="11"/>
  </w:num>
  <w:num w:numId="22" w16cid:durableId="149718304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90"/>
    <w:rsid w:val="0000031A"/>
    <w:rsid w:val="00000829"/>
    <w:rsid w:val="00001C08"/>
    <w:rsid w:val="00002BF1"/>
    <w:rsid w:val="00006220"/>
    <w:rsid w:val="00006CD7"/>
    <w:rsid w:val="000103FC"/>
    <w:rsid w:val="00010746"/>
    <w:rsid w:val="000143DF"/>
    <w:rsid w:val="000151F8"/>
    <w:rsid w:val="00015D43"/>
    <w:rsid w:val="00016801"/>
    <w:rsid w:val="00021171"/>
    <w:rsid w:val="00023418"/>
    <w:rsid w:val="00023790"/>
    <w:rsid w:val="00024602"/>
    <w:rsid w:val="000252FF"/>
    <w:rsid w:val="000253AE"/>
    <w:rsid w:val="00026011"/>
    <w:rsid w:val="00030EBC"/>
    <w:rsid w:val="000331B6"/>
    <w:rsid w:val="00034F5E"/>
    <w:rsid w:val="0003541F"/>
    <w:rsid w:val="00040BF3"/>
    <w:rsid w:val="000423E3"/>
    <w:rsid w:val="0004292D"/>
    <w:rsid w:val="00042D30"/>
    <w:rsid w:val="00043BC6"/>
    <w:rsid w:val="00043FA0"/>
    <w:rsid w:val="00044C5D"/>
    <w:rsid w:val="00044D23"/>
    <w:rsid w:val="00046473"/>
    <w:rsid w:val="00047B91"/>
    <w:rsid w:val="000507E6"/>
    <w:rsid w:val="0005163D"/>
    <w:rsid w:val="000534F4"/>
    <w:rsid w:val="000535B7"/>
    <w:rsid w:val="00053726"/>
    <w:rsid w:val="00053BF1"/>
    <w:rsid w:val="000562A7"/>
    <w:rsid w:val="000564F8"/>
    <w:rsid w:val="00057BC8"/>
    <w:rsid w:val="000604B9"/>
    <w:rsid w:val="00061232"/>
    <w:rsid w:val="000613C4"/>
    <w:rsid w:val="000620E8"/>
    <w:rsid w:val="00062708"/>
    <w:rsid w:val="000645F2"/>
    <w:rsid w:val="0006572A"/>
    <w:rsid w:val="00065A16"/>
    <w:rsid w:val="0007141C"/>
    <w:rsid w:val="00071D06"/>
    <w:rsid w:val="0007214A"/>
    <w:rsid w:val="00072B6E"/>
    <w:rsid w:val="00072DFB"/>
    <w:rsid w:val="00075B4E"/>
    <w:rsid w:val="00077A7C"/>
    <w:rsid w:val="00082E0F"/>
    <w:rsid w:val="00082E53"/>
    <w:rsid w:val="000844F9"/>
    <w:rsid w:val="00084710"/>
    <w:rsid w:val="00084830"/>
    <w:rsid w:val="0008606A"/>
    <w:rsid w:val="00086656"/>
    <w:rsid w:val="00086D87"/>
    <w:rsid w:val="000872D6"/>
    <w:rsid w:val="00090628"/>
    <w:rsid w:val="00093B78"/>
    <w:rsid w:val="0009452F"/>
    <w:rsid w:val="000953EC"/>
    <w:rsid w:val="00096701"/>
    <w:rsid w:val="000A0C05"/>
    <w:rsid w:val="000A0C93"/>
    <w:rsid w:val="000A33D4"/>
    <w:rsid w:val="000A41E7"/>
    <w:rsid w:val="000A451E"/>
    <w:rsid w:val="000A796C"/>
    <w:rsid w:val="000A7A61"/>
    <w:rsid w:val="000B09C8"/>
    <w:rsid w:val="000B1FC2"/>
    <w:rsid w:val="000B2886"/>
    <w:rsid w:val="000B30E1"/>
    <w:rsid w:val="000B4F65"/>
    <w:rsid w:val="000B5AEB"/>
    <w:rsid w:val="000B75CB"/>
    <w:rsid w:val="000B7D49"/>
    <w:rsid w:val="000C0FB5"/>
    <w:rsid w:val="000C1078"/>
    <w:rsid w:val="000C16A7"/>
    <w:rsid w:val="000C1BCD"/>
    <w:rsid w:val="000C250C"/>
    <w:rsid w:val="000C3B21"/>
    <w:rsid w:val="000C43DF"/>
    <w:rsid w:val="000C575E"/>
    <w:rsid w:val="000C61FB"/>
    <w:rsid w:val="000C6526"/>
    <w:rsid w:val="000C6F89"/>
    <w:rsid w:val="000C7AC1"/>
    <w:rsid w:val="000C7D4F"/>
    <w:rsid w:val="000D2063"/>
    <w:rsid w:val="000D24EC"/>
    <w:rsid w:val="000D2C3A"/>
    <w:rsid w:val="000D48A8"/>
    <w:rsid w:val="000D4B5A"/>
    <w:rsid w:val="000D55B1"/>
    <w:rsid w:val="000D64D8"/>
    <w:rsid w:val="000E3C1C"/>
    <w:rsid w:val="000E41B7"/>
    <w:rsid w:val="000E6BA0"/>
    <w:rsid w:val="000F174A"/>
    <w:rsid w:val="000F6D1E"/>
    <w:rsid w:val="000F7960"/>
    <w:rsid w:val="00100551"/>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4BCE"/>
    <w:rsid w:val="00146F04"/>
    <w:rsid w:val="00150EBC"/>
    <w:rsid w:val="001520B0"/>
    <w:rsid w:val="0015446A"/>
    <w:rsid w:val="0015487C"/>
    <w:rsid w:val="00155144"/>
    <w:rsid w:val="001566C8"/>
    <w:rsid w:val="0015712E"/>
    <w:rsid w:val="00157D45"/>
    <w:rsid w:val="001619F2"/>
    <w:rsid w:val="00162C3A"/>
    <w:rsid w:val="0016498A"/>
    <w:rsid w:val="00165FF0"/>
    <w:rsid w:val="0017075C"/>
    <w:rsid w:val="00170CB5"/>
    <w:rsid w:val="00171601"/>
    <w:rsid w:val="00174183"/>
    <w:rsid w:val="00176C65"/>
    <w:rsid w:val="00180792"/>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23C0"/>
    <w:rsid w:val="00193503"/>
    <w:rsid w:val="001939CA"/>
    <w:rsid w:val="00193B82"/>
    <w:rsid w:val="00195C0D"/>
    <w:rsid w:val="0019600C"/>
    <w:rsid w:val="00196CF1"/>
    <w:rsid w:val="00197B41"/>
    <w:rsid w:val="001A03EA"/>
    <w:rsid w:val="001A3627"/>
    <w:rsid w:val="001B2FB6"/>
    <w:rsid w:val="001B3065"/>
    <w:rsid w:val="001B33C0"/>
    <w:rsid w:val="001B4A46"/>
    <w:rsid w:val="001B5480"/>
    <w:rsid w:val="001B5E34"/>
    <w:rsid w:val="001C2997"/>
    <w:rsid w:val="001C4DB7"/>
    <w:rsid w:val="001C6C9B"/>
    <w:rsid w:val="001D10B2"/>
    <w:rsid w:val="001D3092"/>
    <w:rsid w:val="001D47B6"/>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3C71"/>
    <w:rsid w:val="00224261"/>
    <w:rsid w:val="00224B16"/>
    <w:rsid w:val="00224D61"/>
    <w:rsid w:val="002265BD"/>
    <w:rsid w:val="002270CC"/>
    <w:rsid w:val="00227421"/>
    <w:rsid w:val="00227894"/>
    <w:rsid w:val="0022791F"/>
    <w:rsid w:val="00231E53"/>
    <w:rsid w:val="00234830"/>
    <w:rsid w:val="002368C7"/>
    <w:rsid w:val="0023726F"/>
    <w:rsid w:val="002379A1"/>
    <w:rsid w:val="0024041A"/>
    <w:rsid w:val="002410C8"/>
    <w:rsid w:val="00241C93"/>
    <w:rsid w:val="002420A7"/>
    <w:rsid w:val="0024214A"/>
    <w:rsid w:val="002441F2"/>
    <w:rsid w:val="0024438F"/>
    <w:rsid w:val="002447C2"/>
    <w:rsid w:val="002458D0"/>
    <w:rsid w:val="00245EC0"/>
    <w:rsid w:val="002462B7"/>
    <w:rsid w:val="00247FF0"/>
    <w:rsid w:val="00250C2E"/>
    <w:rsid w:val="00250F4A"/>
    <w:rsid w:val="00251349"/>
    <w:rsid w:val="002519F0"/>
    <w:rsid w:val="00253532"/>
    <w:rsid w:val="002540D3"/>
    <w:rsid w:val="00254B2A"/>
    <w:rsid w:val="002556DB"/>
    <w:rsid w:val="00256D4F"/>
    <w:rsid w:val="00260EE8"/>
    <w:rsid w:val="00260F28"/>
    <w:rsid w:val="0026131D"/>
    <w:rsid w:val="00263542"/>
    <w:rsid w:val="00266738"/>
    <w:rsid w:val="00266901"/>
    <w:rsid w:val="00266D0C"/>
    <w:rsid w:val="00273F94"/>
    <w:rsid w:val="00275DB1"/>
    <w:rsid w:val="002760B7"/>
    <w:rsid w:val="0028036A"/>
    <w:rsid w:val="00280CCE"/>
    <w:rsid w:val="002810D3"/>
    <w:rsid w:val="002847AE"/>
    <w:rsid w:val="002870F2"/>
    <w:rsid w:val="00287650"/>
    <w:rsid w:val="0029008E"/>
    <w:rsid w:val="00290154"/>
    <w:rsid w:val="00294F88"/>
    <w:rsid w:val="00294FCC"/>
    <w:rsid w:val="00295516"/>
    <w:rsid w:val="00297130"/>
    <w:rsid w:val="002A10A1"/>
    <w:rsid w:val="002A3161"/>
    <w:rsid w:val="002A3410"/>
    <w:rsid w:val="002A44D1"/>
    <w:rsid w:val="002A4631"/>
    <w:rsid w:val="002A5BA6"/>
    <w:rsid w:val="002A674D"/>
    <w:rsid w:val="002A6EA6"/>
    <w:rsid w:val="002A726D"/>
    <w:rsid w:val="002B108B"/>
    <w:rsid w:val="002B12DE"/>
    <w:rsid w:val="002B270D"/>
    <w:rsid w:val="002B3375"/>
    <w:rsid w:val="002B4745"/>
    <w:rsid w:val="002B480D"/>
    <w:rsid w:val="002B4845"/>
    <w:rsid w:val="002B4AC3"/>
    <w:rsid w:val="002B7744"/>
    <w:rsid w:val="002C05AC"/>
    <w:rsid w:val="002C3953"/>
    <w:rsid w:val="002C56A0"/>
    <w:rsid w:val="002C619D"/>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2F1C"/>
    <w:rsid w:val="002F3A6D"/>
    <w:rsid w:val="002F749C"/>
    <w:rsid w:val="00300C73"/>
    <w:rsid w:val="00302293"/>
    <w:rsid w:val="00303813"/>
    <w:rsid w:val="003038B5"/>
    <w:rsid w:val="00304835"/>
    <w:rsid w:val="00307C63"/>
    <w:rsid w:val="00310348"/>
    <w:rsid w:val="00310EE6"/>
    <w:rsid w:val="00311628"/>
    <w:rsid w:val="00311E73"/>
    <w:rsid w:val="0031221D"/>
    <w:rsid w:val="003123F7"/>
    <w:rsid w:val="00314A01"/>
    <w:rsid w:val="00314B9D"/>
    <w:rsid w:val="00314DD8"/>
    <w:rsid w:val="003155A3"/>
    <w:rsid w:val="00315B35"/>
    <w:rsid w:val="00316A7F"/>
    <w:rsid w:val="003174A1"/>
    <w:rsid w:val="00317A67"/>
    <w:rsid w:val="00317B24"/>
    <w:rsid w:val="00317D8E"/>
    <w:rsid w:val="00317E8F"/>
    <w:rsid w:val="00320752"/>
    <w:rsid w:val="003209E8"/>
    <w:rsid w:val="003211F4"/>
    <w:rsid w:val="0032193F"/>
    <w:rsid w:val="00322186"/>
    <w:rsid w:val="00322962"/>
    <w:rsid w:val="0032403E"/>
    <w:rsid w:val="00324D73"/>
    <w:rsid w:val="00325B7B"/>
    <w:rsid w:val="00325FFC"/>
    <w:rsid w:val="00326370"/>
    <w:rsid w:val="0033147A"/>
    <w:rsid w:val="0033193C"/>
    <w:rsid w:val="00332B30"/>
    <w:rsid w:val="0033532B"/>
    <w:rsid w:val="00336799"/>
    <w:rsid w:val="00337929"/>
    <w:rsid w:val="00340003"/>
    <w:rsid w:val="00340C4F"/>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1E73"/>
    <w:rsid w:val="00362DCB"/>
    <w:rsid w:val="0036308C"/>
    <w:rsid w:val="00363E8F"/>
    <w:rsid w:val="00365118"/>
    <w:rsid w:val="00366467"/>
    <w:rsid w:val="00367331"/>
    <w:rsid w:val="00367384"/>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0328"/>
    <w:rsid w:val="00395451"/>
    <w:rsid w:val="00395716"/>
    <w:rsid w:val="00396B0E"/>
    <w:rsid w:val="0039766F"/>
    <w:rsid w:val="00397DE3"/>
    <w:rsid w:val="003A01C8"/>
    <w:rsid w:val="003A1238"/>
    <w:rsid w:val="003A1937"/>
    <w:rsid w:val="003A43B0"/>
    <w:rsid w:val="003A4F65"/>
    <w:rsid w:val="003A5964"/>
    <w:rsid w:val="003A5E30"/>
    <w:rsid w:val="003A6344"/>
    <w:rsid w:val="003A6624"/>
    <w:rsid w:val="003A695D"/>
    <w:rsid w:val="003A6A25"/>
    <w:rsid w:val="003A6F6B"/>
    <w:rsid w:val="003B01D9"/>
    <w:rsid w:val="003B225F"/>
    <w:rsid w:val="003B3CB0"/>
    <w:rsid w:val="003B67A5"/>
    <w:rsid w:val="003B7BBB"/>
    <w:rsid w:val="003C0FB3"/>
    <w:rsid w:val="003C2957"/>
    <w:rsid w:val="003C3990"/>
    <w:rsid w:val="003C434B"/>
    <w:rsid w:val="003C489D"/>
    <w:rsid w:val="003C54B8"/>
    <w:rsid w:val="003C687F"/>
    <w:rsid w:val="003C723C"/>
    <w:rsid w:val="003D0F7F"/>
    <w:rsid w:val="003D1EC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B98"/>
    <w:rsid w:val="003F7D20"/>
    <w:rsid w:val="00400EB0"/>
    <w:rsid w:val="004013F6"/>
    <w:rsid w:val="00405801"/>
    <w:rsid w:val="00407474"/>
    <w:rsid w:val="00407ED4"/>
    <w:rsid w:val="004128F0"/>
    <w:rsid w:val="00414D3D"/>
    <w:rsid w:val="00414D5B"/>
    <w:rsid w:val="00414DC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47CB"/>
    <w:rsid w:val="0045627B"/>
    <w:rsid w:val="00456C90"/>
    <w:rsid w:val="00457160"/>
    <w:rsid w:val="004578CC"/>
    <w:rsid w:val="0046313E"/>
    <w:rsid w:val="00463BFC"/>
    <w:rsid w:val="004657D6"/>
    <w:rsid w:val="004728AA"/>
    <w:rsid w:val="004732E5"/>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1755"/>
    <w:rsid w:val="004B240E"/>
    <w:rsid w:val="004B29F4"/>
    <w:rsid w:val="004B398B"/>
    <w:rsid w:val="004B4C27"/>
    <w:rsid w:val="004B6407"/>
    <w:rsid w:val="004B6923"/>
    <w:rsid w:val="004B7240"/>
    <w:rsid w:val="004B7495"/>
    <w:rsid w:val="004B780F"/>
    <w:rsid w:val="004B7B56"/>
    <w:rsid w:val="004C098E"/>
    <w:rsid w:val="004C20CF"/>
    <w:rsid w:val="004C299C"/>
    <w:rsid w:val="004C2E2E"/>
    <w:rsid w:val="004C4D54"/>
    <w:rsid w:val="004C7023"/>
    <w:rsid w:val="004C739F"/>
    <w:rsid w:val="004C7513"/>
    <w:rsid w:val="004D02AC"/>
    <w:rsid w:val="004D0383"/>
    <w:rsid w:val="004D05C2"/>
    <w:rsid w:val="004D1F3F"/>
    <w:rsid w:val="004D333E"/>
    <w:rsid w:val="004D3A72"/>
    <w:rsid w:val="004D3EE2"/>
    <w:rsid w:val="004D400F"/>
    <w:rsid w:val="004D5BBA"/>
    <w:rsid w:val="004D6540"/>
    <w:rsid w:val="004E1C2A"/>
    <w:rsid w:val="004E2ACB"/>
    <w:rsid w:val="004E37AD"/>
    <w:rsid w:val="004E38B0"/>
    <w:rsid w:val="004E3C28"/>
    <w:rsid w:val="004E4332"/>
    <w:rsid w:val="004E4E0B"/>
    <w:rsid w:val="004E6856"/>
    <w:rsid w:val="004E6FB4"/>
    <w:rsid w:val="004E732B"/>
    <w:rsid w:val="004E7D2E"/>
    <w:rsid w:val="004F0977"/>
    <w:rsid w:val="004F1408"/>
    <w:rsid w:val="004F4E1D"/>
    <w:rsid w:val="004F6257"/>
    <w:rsid w:val="004F6A25"/>
    <w:rsid w:val="004F6AB0"/>
    <w:rsid w:val="004F6B4D"/>
    <w:rsid w:val="004F6F40"/>
    <w:rsid w:val="005000BD"/>
    <w:rsid w:val="005000DD"/>
    <w:rsid w:val="005035BD"/>
    <w:rsid w:val="00503948"/>
    <w:rsid w:val="00503B09"/>
    <w:rsid w:val="00504F5C"/>
    <w:rsid w:val="00505262"/>
    <w:rsid w:val="0050597B"/>
    <w:rsid w:val="00506DF8"/>
    <w:rsid w:val="00507451"/>
    <w:rsid w:val="0051066B"/>
    <w:rsid w:val="00511F4D"/>
    <w:rsid w:val="00513105"/>
    <w:rsid w:val="00514D6B"/>
    <w:rsid w:val="0051574E"/>
    <w:rsid w:val="0051725F"/>
    <w:rsid w:val="00520095"/>
    <w:rsid w:val="00520645"/>
    <w:rsid w:val="00520C95"/>
    <w:rsid w:val="0052168D"/>
    <w:rsid w:val="00522EA6"/>
    <w:rsid w:val="0052396A"/>
    <w:rsid w:val="0052782C"/>
    <w:rsid w:val="00527A41"/>
    <w:rsid w:val="00530E46"/>
    <w:rsid w:val="005324EF"/>
    <w:rsid w:val="0053286B"/>
    <w:rsid w:val="00536369"/>
    <w:rsid w:val="005400FF"/>
    <w:rsid w:val="005405DA"/>
    <w:rsid w:val="00540E99"/>
    <w:rsid w:val="00541130"/>
    <w:rsid w:val="00546A8B"/>
    <w:rsid w:val="00546D5E"/>
    <w:rsid w:val="00546F02"/>
    <w:rsid w:val="0054770B"/>
    <w:rsid w:val="00551073"/>
    <w:rsid w:val="00551DA4"/>
    <w:rsid w:val="0055213A"/>
    <w:rsid w:val="00552316"/>
    <w:rsid w:val="00554956"/>
    <w:rsid w:val="00557BE6"/>
    <w:rsid w:val="005600BC"/>
    <w:rsid w:val="00563104"/>
    <w:rsid w:val="005642C8"/>
    <w:rsid w:val="005646C1"/>
    <w:rsid w:val="005646CC"/>
    <w:rsid w:val="005652E4"/>
    <w:rsid w:val="00565730"/>
    <w:rsid w:val="00566671"/>
    <w:rsid w:val="00567B22"/>
    <w:rsid w:val="0057134C"/>
    <w:rsid w:val="0057331C"/>
    <w:rsid w:val="00573328"/>
    <w:rsid w:val="00573F07"/>
    <w:rsid w:val="005747FF"/>
    <w:rsid w:val="00574F17"/>
    <w:rsid w:val="00576415"/>
    <w:rsid w:val="00580D0F"/>
    <w:rsid w:val="005824C0"/>
    <w:rsid w:val="00582560"/>
    <w:rsid w:val="005829F9"/>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0F1"/>
    <w:rsid w:val="005A39FC"/>
    <w:rsid w:val="005A3B66"/>
    <w:rsid w:val="005A42E3"/>
    <w:rsid w:val="005A5F04"/>
    <w:rsid w:val="005A6DC2"/>
    <w:rsid w:val="005B0870"/>
    <w:rsid w:val="005B1762"/>
    <w:rsid w:val="005B2587"/>
    <w:rsid w:val="005B4B88"/>
    <w:rsid w:val="005B5605"/>
    <w:rsid w:val="005B5D60"/>
    <w:rsid w:val="005B5E31"/>
    <w:rsid w:val="005B64AE"/>
    <w:rsid w:val="005B6E3D"/>
    <w:rsid w:val="005B7298"/>
    <w:rsid w:val="005C1BFC"/>
    <w:rsid w:val="005C7B55"/>
    <w:rsid w:val="005D0175"/>
    <w:rsid w:val="005D1CC4"/>
    <w:rsid w:val="005D2D62"/>
    <w:rsid w:val="005D3024"/>
    <w:rsid w:val="005D5A78"/>
    <w:rsid w:val="005D5DB0"/>
    <w:rsid w:val="005E0B43"/>
    <w:rsid w:val="005E1703"/>
    <w:rsid w:val="005E4742"/>
    <w:rsid w:val="005E6829"/>
    <w:rsid w:val="005F10D4"/>
    <w:rsid w:val="005F26E8"/>
    <w:rsid w:val="005F275A"/>
    <w:rsid w:val="005F2E08"/>
    <w:rsid w:val="005F5662"/>
    <w:rsid w:val="005F78DD"/>
    <w:rsid w:val="005F7A4D"/>
    <w:rsid w:val="00601B68"/>
    <w:rsid w:val="00603360"/>
    <w:rsid w:val="0060359B"/>
    <w:rsid w:val="00603F69"/>
    <w:rsid w:val="006040DA"/>
    <w:rsid w:val="006047BD"/>
    <w:rsid w:val="00607675"/>
    <w:rsid w:val="00607E68"/>
    <w:rsid w:val="00610F53"/>
    <w:rsid w:val="00612E3F"/>
    <w:rsid w:val="00613208"/>
    <w:rsid w:val="00616767"/>
    <w:rsid w:val="0061698B"/>
    <w:rsid w:val="00616F61"/>
    <w:rsid w:val="00620917"/>
    <w:rsid w:val="0062163D"/>
    <w:rsid w:val="00622D05"/>
    <w:rsid w:val="00623A9E"/>
    <w:rsid w:val="00624A20"/>
    <w:rsid w:val="00624C9B"/>
    <w:rsid w:val="00630BB3"/>
    <w:rsid w:val="00632182"/>
    <w:rsid w:val="00633158"/>
    <w:rsid w:val="006335DF"/>
    <w:rsid w:val="00633630"/>
    <w:rsid w:val="00634717"/>
    <w:rsid w:val="0063670E"/>
    <w:rsid w:val="00637181"/>
    <w:rsid w:val="00637AF8"/>
    <w:rsid w:val="006412BE"/>
    <w:rsid w:val="0064144D"/>
    <w:rsid w:val="00641609"/>
    <w:rsid w:val="0064160E"/>
    <w:rsid w:val="0064190F"/>
    <w:rsid w:val="00642389"/>
    <w:rsid w:val="006439ED"/>
    <w:rsid w:val="00644306"/>
    <w:rsid w:val="006450E2"/>
    <w:rsid w:val="006453D8"/>
    <w:rsid w:val="00645F8D"/>
    <w:rsid w:val="0064770E"/>
    <w:rsid w:val="00650503"/>
    <w:rsid w:val="00651A1C"/>
    <w:rsid w:val="00651E73"/>
    <w:rsid w:val="006522FD"/>
    <w:rsid w:val="00652800"/>
    <w:rsid w:val="00653AB0"/>
    <w:rsid w:val="00653C5D"/>
    <w:rsid w:val="0065407A"/>
    <w:rsid w:val="006544A7"/>
    <w:rsid w:val="006552BE"/>
    <w:rsid w:val="006571AB"/>
    <w:rsid w:val="006618E3"/>
    <w:rsid w:val="00661D06"/>
    <w:rsid w:val="006627CA"/>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4E98"/>
    <w:rsid w:val="006954D4"/>
    <w:rsid w:val="0069598B"/>
    <w:rsid w:val="00695AF0"/>
    <w:rsid w:val="006A1A8E"/>
    <w:rsid w:val="006A1CF6"/>
    <w:rsid w:val="006A2D9E"/>
    <w:rsid w:val="006A36DB"/>
    <w:rsid w:val="006A3EF2"/>
    <w:rsid w:val="006A44D0"/>
    <w:rsid w:val="006A48C1"/>
    <w:rsid w:val="006A510D"/>
    <w:rsid w:val="006A51A4"/>
    <w:rsid w:val="006B06B2"/>
    <w:rsid w:val="006B09CF"/>
    <w:rsid w:val="006B1FFA"/>
    <w:rsid w:val="006B3564"/>
    <w:rsid w:val="006B37E6"/>
    <w:rsid w:val="006B3D8F"/>
    <w:rsid w:val="006B42E3"/>
    <w:rsid w:val="006B44E9"/>
    <w:rsid w:val="006B6F6C"/>
    <w:rsid w:val="006B73E5"/>
    <w:rsid w:val="006C00A3"/>
    <w:rsid w:val="006C0681"/>
    <w:rsid w:val="006C14FF"/>
    <w:rsid w:val="006C3F63"/>
    <w:rsid w:val="006C7AB5"/>
    <w:rsid w:val="006D062E"/>
    <w:rsid w:val="006D0817"/>
    <w:rsid w:val="006D0996"/>
    <w:rsid w:val="006D227D"/>
    <w:rsid w:val="006D2405"/>
    <w:rsid w:val="006D3A0E"/>
    <w:rsid w:val="006D4A39"/>
    <w:rsid w:val="006D53A4"/>
    <w:rsid w:val="006D6748"/>
    <w:rsid w:val="006D7DC8"/>
    <w:rsid w:val="006E08A7"/>
    <w:rsid w:val="006E08C4"/>
    <w:rsid w:val="006E091B"/>
    <w:rsid w:val="006E2552"/>
    <w:rsid w:val="006E3D31"/>
    <w:rsid w:val="006E42C8"/>
    <w:rsid w:val="006E46D3"/>
    <w:rsid w:val="006E4800"/>
    <w:rsid w:val="006E560F"/>
    <w:rsid w:val="006E5B90"/>
    <w:rsid w:val="006E60D3"/>
    <w:rsid w:val="006E7948"/>
    <w:rsid w:val="006E79B6"/>
    <w:rsid w:val="006F054E"/>
    <w:rsid w:val="006F15D8"/>
    <w:rsid w:val="006F1B19"/>
    <w:rsid w:val="006F3613"/>
    <w:rsid w:val="006F3839"/>
    <w:rsid w:val="006F4503"/>
    <w:rsid w:val="00701DAC"/>
    <w:rsid w:val="00704694"/>
    <w:rsid w:val="007058CD"/>
    <w:rsid w:val="00705D75"/>
    <w:rsid w:val="0070723B"/>
    <w:rsid w:val="00712DA7"/>
    <w:rsid w:val="00714586"/>
    <w:rsid w:val="00714956"/>
    <w:rsid w:val="00715891"/>
    <w:rsid w:val="00715F89"/>
    <w:rsid w:val="00716FB7"/>
    <w:rsid w:val="00717A11"/>
    <w:rsid w:val="00717C66"/>
    <w:rsid w:val="0072144B"/>
    <w:rsid w:val="00722D6B"/>
    <w:rsid w:val="00723956"/>
    <w:rsid w:val="00724203"/>
    <w:rsid w:val="00725C3B"/>
    <w:rsid w:val="00725D14"/>
    <w:rsid w:val="007266FB"/>
    <w:rsid w:val="0073212B"/>
    <w:rsid w:val="00733D6A"/>
    <w:rsid w:val="00734065"/>
    <w:rsid w:val="00734894"/>
    <w:rsid w:val="007351DF"/>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17FE"/>
    <w:rsid w:val="00762125"/>
    <w:rsid w:val="00762CA6"/>
    <w:rsid w:val="007635C3"/>
    <w:rsid w:val="00763AFC"/>
    <w:rsid w:val="00765E06"/>
    <w:rsid w:val="00765F79"/>
    <w:rsid w:val="007706FF"/>
    <w:rsid w:val="00770891"/>
    <w:rsid w:val="00770C61"/>
    <w:rsid w:val="00770E6D"/>
    <w:rsid w:val="00772BA3"/>
    <w:rsid w:val="007763FE"/>
    <w:rsid w:val="00776998"/>
    <w:rsid w:val="007776A2"/>
    <w:rsid w:val="00777849"/>
    <w:rsid w:val="00780A99"/>
    <w:rsid w:val="00781C4F"/>
    <w:rsid w:val="00782487"/>
    <w:rsid w:val="00782A2E"/>
    <w:rsid w:val="00782B11"/>
    <w:rsid w:val="007836C0"/>
    <w:rsid w:val="00784E86"/>
    <w:rsid w:val="00785237"/>
    <w:rsid w:val="0078667E"/>
    <w:rsid w:val="007919DC"/>
    <w:rsid w:val="00791B72"/>
    <w:rsid w:val="00791C7F"/>
    <w:rsid w:val="007947DD"/>
    <w:rsid w:val="00796888"/>
    <w:rsid w:val="007A1326"/>
    <w:rsid w:val="007A2B7B"/>
    <w:rsid w:val="007A3356"/>
    <w:rsid w:val="007A36F3"/>
    <w:rsid w:val="007A4CEF"/>
    <w:rsid w:val="007A55A8"/>
    <w:rsid w:val="007B24C4"/>
    <w:rsid w:val="007B50E4"/>
    <w:rsid w:val="007B5236"/>
    <w:rsid w:val="007B6B2F"/>
    <w:rsid w:val="007B760C"/>
    <w:rsid w:val="007C057B"/>
    <w:rsid w:val="007C1661"/>
    <w:rsid w:val="007C1A9E"/>
    <w:rsid w:val="007C69C0"/>
    <w:rsid w:val="007C6E38"/>
    <w:rsid w:val="007D212E"/>
    <w:rsid w:val="007D458F"/>
    <w:rsid w:val="007D46EA"/>
    <w:rsid w:val="007D5655"/>
    <w:rsid w:val="007D5A52"/>
    <w:rsid w:val="007D7CF5"/>
    <w:rsid w:val="007D7E58"/>
    <w:rsid w:val="007E41AD"/>
    <w:rsid w:val="007E5472"/>
    <w:rsid w:val="007E5E9E"/>
    <w:rsid w:val="007F1493"/>
    <w:rsid w:val="007F15BC"/>
    <w:rsid w:val="007F3524"/>
    <w:rsid w:val="007F576D"/>
    <w:rsid w:val="007F6205"/>
    <w:rsid w:val="007F637A"/>
    <w:rsid w:val="007F66A6"/>
    <w:rsid w:val="007F76BF"/>
    <w:rsid w:val="008003CD"/>
    <w:rsid w:val="00800512"/>
    <w:rsid w:val="00801687"/>
    <w:rsid w:val="008019EE"/>
    <w:rsid w:val="00802022"/>
    <w:rsid w:val="0080207C"/>
    <w:rsid w:val="008028A3"/>
    <w:rsid w:val="00804D8B"/>
    <w:rsid w:val="008059C1"/>
    <w:rsid w:val="0080662F"/>
    <w:rsid w:val="00806C91"/>
    <w:rsid w:val="0081065F"/>
    <w:rsid w:val="00810E72"/>
    <w:rsid w:val="0081179B"/>
    <w:rsid w:val="00812DCB"/>
    <w:rsid w:val="00813DAA"/>
    <w:rsid w:val="00813FA5"/>
    <w:rsid w:val="0081523F"/>
    <w:rsid w:val="00816151"/>
    <w:rsid w:val="00817268"/>
    <w:rsid w:val="008203B7"/>
    <w:rsid w:val="00820BB7"/>
    <w:rsid w:val="008212BE"/>
    <w:rsid w:val="008218CF"/>
    <w:rsid w:val="00822BD1"/>
    <w:rsid w:val="00822ED5"/>
    <w:rsid w:val="008248E7"/>
    <w:rsid w:val="00824F02"/>
    <w:rsid w:val="00825595"/>
    <w:rsid w:val="00826BD1"/>
    <w:rsid w:val="00826C4F"/>
    <w:rsid w:val="0082743F"/>
    <w:rsid w:val="0083066E"/>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0E1"/>
    <w:rsid w:val="00870838"/>
    <w:rsid w:val="00870A3D"/>
    <w:rsid w:val="008736AC"/>
    <w:rsid w:val="00874C1F"/>
    <w:rsid w:val="008753A3"/>
    <w:rsid w:val="00880850"/>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6F47"/>
    <w:rsid w:val="008970C1"/>
    <w:rsid w:val="00897B91"/>
    <w:rsid w:val="00897E17"/>
    <w:rsid w:val="008A00A0"/>
    <w:rsid w:val="008A0836"/>
    <w:rsid w:val="008A134D"/>
    <w:rsid w:val="008A21F0"/>
    <w:rsid w:val="008A5DE5"/>
    <w:rsid w:val="008B1799"/>
    <w:rsid w:val="008B1FDB"/>
    <w:rsid w:val="008B22BD"/>
    <w:rsid w:val="008B2A5B"/>
    <w:rsid w:val="008B367A"/>
    <w:rsid w:val="008B430F"/>
    <w:rsid w:val="008B44C9"/>
    <w:rsid w:val="008B4DA3"/>
    <w:rsid w:val="008B4FF4"/>
    <w:rsid w:val="008B6729"/>
    <w:rsid w:val="008B68D1"/>
    <w:rsid w:val="008B7F83"/>
    <w:rsid w:val="008C085A"/>
    <w:rsid w:val="008C1A20"/>
    <w:rsid w:val="008C2FB5"/>
    <w:rsid w:val="008C302C"/>
    <w:rsid w:val="008C4B0B"/>
    <w:rsid w:val="008C4CAB"/>
    <w:rsid w:val="008C6461"/>
    <w:rsid w:val="008C6BA4"/>
    <w:rsid w:val="008C6F82"/>
    <w:rsid w:val="008C7CBC"/>
    <w:rsid w:val="008D0067"/>
    <w:rsid w:val="008D125E"/>
    <w:rsid w:val="008D5308"/>
    <w:rsid w:val="008D55BF"/>
    <w:rsid w:val="008D5D62"/>
    <w:rsid w:val="008D61E0"/>
    <w:rsid w:val="008D6722"/>
    <w:rsid w:val="008D6E1D"/>
    <w:rsid w:val="008D7AB2"/>
    <w:rsid w:val="008E0259"/>
    <w:rsid w:val="008E43E0"/>
    <w:rsid w:val="008E4A0E"/>
    <w:rsid w:val="008E4E59"/>
    <w:rsid w:val="008F0115"/>
    <w:rsid w:val="008F0383"/>
    <w:rsid w:val="008F1F6A"/>
    <w:rsid w:val="008F1FB4"/>
    <w:rsid w:val="008F28E7"/>
    <w:rsid w:val="008F3EDF"/>
    <w:rsid w:val="008F56DB"/>
    <w:rsid w:val="0090053B"/>
    <w:rsid w:val="00900561"/>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4A67"/>
    <w:rsid w:val="009153A2"/>
    <w:rsid w:val="0091571A"/>
    <w:rsid w:val="00915AC4"/>
    <w:rsid w:val="00915BB1"/>
    <w:rsid w:val="00917107"/>
    <w:rsid w:val="00920A1E"/>
    <w:rsid w:val="00920C71"/>
    <w:rsid w:val="00921D1D"/>
    <w:rsid w:val="009227DD"/>
    <w:rsid w:val="00923015"/>
    <w:rsid w:val="009234D0"/>
    <w:rsid w:val="00925013"/>
    <w:rsid w:val="00925024"/>
    <w:rsid w:val="00925655"/>
    <w:rsid w:val="00925733"/>
    <w:rsid w:val="009257A8"/>
    <w:rsid w:val="009261C8"/>
    <w:rsid w:val="0092689A"/>
    <w:rsid w:val="00926D03"/>
    <w:rsid w:val="00926F76"/>
    <w:rsid w:val="00927DB3"/>
    <w:rsid w:val="00927E08"/>
    <w:rsid w:val="00930D17"/>
    <w:rsid w:val="00930ED6"/>
    <w:rsid w:val="00931206"/>
    <w:rsid w:val="00932077"/>
    <w:rsid w:val="00932A03"/>
    <w:rsid w:val="0093313E"/>
    <w:rsid w:val="009331F9"/>
    <w:rsid w:val="00933454"/>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A82"/>
    <w:rsid w:val="00955D6C"/>
    <w:rsid w:val="00960547"/>
    <w:rsid w:val="00960CCA"/>
    <w:rsid w:val="00960E03"/>
    <w:rsid w:val="009624AB"/>
    <w:rsid w:val="009634F6"/>
    <w:rsid w:val="00963579"/>
    <w:rsid w:val="0096422F"/>
    <w:rsid w:val="00964AE3"/>
    <w:rsid w:val="0096555D"/>
    <w:rsid w:val="00965F05"/>
    <w:rsid w:val="0096720F"/>
    <w:rsid w:val="0097036E"/>
    <w:rsid w:val="009718BF"/>
    <w:rsid w:val="00973DB2"/>
    <w:rsid w:val="00981373"/>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60F"/>
    <w:rsid w:val="00995954"/>
    <w:rsid w:val="00995BE1"/>
    <w:rsid w:val="00995E81"/>
    <w:rsid w:val="00996470"/>
    <w:rsid w:val="00996603"/>
    <w:rsid w:val="009974B3"/>
    <w:rsid w:val="00997F5D"/>
    <w:rsid w:val="009A03F9"/>
    <w:rsid w:val="009A0402"/>
    <w:rsid w:val="009A09AC"/>
    <w:rsid w:val="009A1BBC"/>
    <w:rsid w:val="009A2864"/>
    <w:rsid w:val="009A313E"/>
    <w:rsid w:val="009A323E"/>
    <w:rsid w:val="009A3EAC"/>
    <w:rsid w:val="009A40D9"/>
    <w:rsid w:val="009B08F7"/>
    <w:rsid w:val="009B165F"/>
    <w:rsid w:val="009B1990"/>
    <w:rsid w:val="009B1AE9"/>
    <w:rsid w:val="009B1E01"/>
    <w:rsid w:val="009B2E67"/>
    <w:rsid w:val="009B417F"/>
    <w:rsid w:val="009B4483"/>
    <w:rsid w:val="009B454C"/>
    <w:rsid w:val="009B5879"/>
    <w:rsid w:val="009B5A96"/>
    <w:rsid w:val="009B6030"/>
    <w:rsid w:val="009B7625"/>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2D2B"/>
    <w:rsid w:val="009E56EB"/>
    <w:rsid w:val="009E5B8A"/>
    <w:rsid w:val="009E6AA6"/>
    <w:rsid w:val="009E6AB6"/>
    <w:rsid w:val="009E6B21"/>
    <w:rsid w:val="009E7F27"/>
    <w:rsid w:val="009F1A7D"/>
    <w:rsid w:val="009F3431"/>
    <w:rsid w:val="009F3838"/>
    <w:rsid w:val="009F3ECD"/>
    <w:rsid w:val="009F4B19"/>
    <w:rsid w:val="009F5F05"/>
    <w:rsid w:val="009F7315"/>
    <w:rsid w:val="009F73D1"/>
    <w:rsid w:val="00A00D40"/>
    <w:rsid w:val="00A01ADF"/>
    <w:rsid w:val="00A04A93"/>
    <w:rsid w:val="00A061C8"/>
    <w:rsid w:val="00A067BD"/>
    <w:rsid w:val="00A07569"/>
    <w:rsid w:val="00A07749"/>
    <w:rsid w:val="00A078FB"/>
    <w:rsid w:val="00A10CE1"/>
    <w:rsid w:val="00A10CED"/>
    <w:rsid w:val="00A128C6"/>
    <w:rsid w:val="00A143CE"/>
    <w:rsid w:val="00A16D9B"/>
    <w:rsid w:val="00A21A49"/>
    <w:rsid w:val="00A231E9"/>
    <w:rsid w:val="00A307AE"/>
    <w:rsid w:val="00A307CD"/>
    <w:rsid w:val="00A35E8B"/>
    <w:rsid w:val="00A3669F"/>
    <w:rsid w:val="00A41A01"/>
    <w:rsid w:val="00A429A9"/>
    <w:rsid w:val="00A43CFF"/>
    <w:rsid w:val="00A47719"/>
    <w:rsid w:val="00A47EAB"/>
    <w:rsid w:val="00A5068D"/>
    <w:rsid w:val="00A509B4"/>
    <w:rsid w:val="00A50A69"/>
    <w:rsid w:val="00A526CB"/>
    <w:rsid w:val="00A5427A"/>
    <w:rsid w:val="00A54C7B"/>
    <w:rsid w:val="00A54CFD"/>
    <w:rsid w:val="00A55BB3"/>
    <w:rsid w:val="00A5639F"/>
    <w:rsid w:val="00A57040"/>
    <w:rsid w:val="00A60064"/>
    <w:rsid w:val="00A64F90"/>
    <w:rsid w:val="00A65A2B"/>
    <w:rsid w:val="00A66BF2"/>
    <w:rsid w:val="00A70137"/>
    <w:rsid w:val="00A70170"/>
    <w:rsid w:val="00A726C7"/>
    <w:rsid w:val="00A7409C"/>
    <w:rsid w:val="00A752B5"/>
    <w:rsid w:val="00A774B4"/>
    <w:rsid w:val="00A77927"/>
    <w:rsid w:val="00A80144"/>
    <w:rsid w:val="00A80A5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A745C"/>
    <w:rsid w:val="00AB0677"/>
    <w:rsid w:val="00AB1983"/>
    <w:rsid w:val="00AB23C3"/>
    <w:rsid w:val="00AB24DB"/>
    <w:rsid w:val="00AB35D0"/>
    <w:rsid w:val="00AB77E7"/>
    <w:rsid w:val="00AC1DCF"/>
    <w:rsid w:val="00AC23B1"/>
    <w:rsid w:val="00AC260E"/>
    <w:rsid w:val="00AC2AF9"/>
    <w:rsid w:val="00AC2F71"/>
    <w:rsid w:val="00AC47A6"/>
    <w:rsid w:val="00AC5B7A"/>
    <w:rsid w:val="00AC60C5"/>
    <w:rsid w:val="00AC78ED"/>
    <w:rsid w:val="00AD02D3"/>
    <w:rsid w:val="00AD3675"/>
    <w:rsid w:val="00AD56A9"/>
    <w:rsid w:val="00AD5C56"/>
    <w:rsid w:val="00AD69C4"/>
    <w:rsid w:val="00AD6F0C"/>
    <w:rsid w:val="00AE1C5F"/>
    <w:rsid w:val="00AE23DD"/>
    <w:rsid w:val="00AE3899"/>
    <w:rsid w:val="00AE62C4"/>
    <w:rsid w:val="00AE6CD2"/>
    <w:rsid w:val="00AE776A"/>
    <w:rsid w:val="00AF1F68"/>
    <w:rsid w:val="00AF27B7"/>
    <w:rsid w:val="00AF2BB2"/>
    <w:rsid w:val="00AF3C5D"/>
    <w:rsid w:val="00AF726A"/>
    <w:rsid w:val="00AF7AB4"/>
    <w:rsid w:val="00AF7B91"/>
    <w:rsid w:val="00B00015"/>
    <w:rsid w:val="00B0151E"/>
    <w:rsid w:val="00B043A6"/>
    <w:rsid w:val="00B04D05"/>
    <w:rsid w:val="00B06DE8"/>
    <w:rsid w:val="00B06FE3"/>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6480"/>
    <w:rsid w:val="00B27039"/>
    <w:rsid w:val="00B27A5A"/>
    <w:rsid w:val="00B27D18"/>
    <w:rsid w:val="00B300DB"/>
    <w:rsid w:val="00B32BEC"/>
    <w:rsid w:val="00B34500"/>
    <w:rsid w:val="00B35B87"/>
    <w:rsid w:val="00B40556"/>
    <w:rsid w:val="00B43107"/>
    <w:rsid w:val="00B45AC4"/>
    <w:rsid w:val="00B45E0A"/>
    <w:rsid w:val="00B47A18"/>
    <w:rsid w:val="00B5147F"/>
    <w:rsid w:val="00B51CD5"/>
    <w:rsid w:val="00B53824"/>
    <w:rsid w:val="00B53857"/>
    <w:rsid w:val="00B54009"/>
    <w:rsid w:val="00B54B6C"/>
    <w:rsid w:val="00B55555"/>
    <w:rsid w:val="00B56FB1"/>
    <w:rsid w:val="00B6083F"/>
    <w:rsid w:val="00B60951"/>
    <w:rsid w:val="00B61504"/>
    <w:rsid w:val="00B62E95"/>
    <w:rsid w:val="00B63ABC"/>
    <w:rsid w:val="00B64D3D"/>
    <w:rsid w:val="00B64F0A"/>
    <w:rsid w:val="00B6562C"/>
    <w:rsid w:val="00B66590"/>
    <w:rsid w:val="00B6729E"/>
    <w:rsid w:val="00B720C9"/>
    <w:rsid w:val="00B7391B"/>
    <w:rsid w:val="00B73ACC"/>
    <w:rsid w:val="00B743E7"/>
    <w:rsid w:val="00B74B80"/>
    <w:rsid w:val="00B768A9"/>
    <w:rsid w:val="00B76E90"/>
    <w:rsid w:val="00B8005C"/>
    <w:rsid w:val="00B82E5F"/>
    <w:rsid w:val="00B8666B"/>
    <w:rsid w:val="00B904F4"/>
    <w:rsid w:val="00B90BD1"/>
    <w:rsid w:val="00B911D1"/>
    <w:rsid w:val="00B92536"/>
    <w:rsid w:val="00B9274D"/>
    <w:rsid w:val="00B94207"/>
    <w:rsid w:val="00B945D4"/>
    <w:rsid w:val="00B9506C"/>
    <w:rsid w:val="00B9512B"/>
    <w:rsid w:val="00B97B50"/>
    <w:rsid w:val="00BA3959"/>
    <w:rsid w:val="00BA563D"/>
    <w:rsid w:val="00BB1855"/>
    <w:rsid w:val="00BB2332"/>
    <w:rsid w:val="00BB239F"/>
    <w:rsid w:val="00BB2494"/>
    <w:rsid w:val="00BB2522"/>
    <w:rsid w:val="00BB28A3"/>
    <w:rsid w:val="00BB4BA1"/>
    <w:rsid w:val="00BB5218"/>
    <w:rsid w:val="00BB5EB7"/>
    <w:rsid w:val="00BB72C0"/>
    <w:rsid w:val="00BB7FF3"/>
    <w:rsid w:val="00BC0AF1"/>
    <w:rsid w:val="00BC27BE"/>
    <w:rsid w:val="00BC3779"/>
    <w:rsid w:val="00BC41A0"/>
    <w:rsid w:val="00BC43D8"/>
    <w:rsid w:val="00BD0186"/>
    <w:rsid w:val="00BD1661"/>
    <w:rsid w:val="00BD469C"/>
    <w:rsid w:val="00BD6178"/>
    <w:rsid w:val="00BD6348"/>
    <w:rsid w:val="00BE0274"/>
    <w:rsid w:val="00BE147F"/>
    <w:rsid w:val="00BE1BBC"/>
    <w:rsid w:val="00BE2B05"/>
    <w:rsid w:val="00BE46B5"/>
    <w:rsid w:val="00BE5C69"/>
    <w:rsid w:val="00BE6663"/>
    <w:rsid w:val="00BE6E4A"/>
    <w:rsid w:val="00BF0917"/>
    <w:rsid w:val="00BF0CD7"/>
    <w:rsid w:val="00BF143E"/>
    <w:rsid w:val="00BF15CE"/>
    <w:rsid w:val="00BF2157"/>
    <w:rsid w:val="00BF2FC3"/>
    <w:rsid w:val="00BF3551"/>
    <w:rsid w:val="00BF37C3"/>
    <w:rsid w:val="00BF4F07"/>
    <w:rsid w:val="00BF56AC"/>
    <w:rsid w:val="00BF695B"/>
    <w:rsid w:val="00BF6A14"/>
    <w:rsid w:val="00BF71B0"/>
    <w:rsid w:val="00C0161F"/>
    <w:rsid w:val="00C023DE"/>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4DE7"/>
    <w:rsid w:val="00C15151"/>
    <w:rsid w:val="00C179BC"/>
    <w:rsid w:val="00C17F8C"/>
    <w:rsid w:val="00C20E68"/>
    <w:rsid w:val="00C211E6"/>
    <w:rsid w:val="00C22446"/>
    <w:rsid w:val="00C22681"/>
    <w:rsid w:val="00C22FB5"/>
    <w:rsid w:val="00C2418E"/>
    <w:rsid w:val="00C24236"/>
    <w:rsid w:val="00C24CBF"/>
    <w:rsid w:val="00C25C66"/>
    <w:rsid w:val="00C2710B"/>
    <w:rsid w:val="00C279C2"/>
    <w:rsid w:val="00C3183E"/>
    <w:rsid w:val="00C33531"/>
    <w:rsid w:val="00C33B9E"/>
    <w:rsid w:val="00C34194"/>
    <w:rsid w:val="00C35EF7"/>
    <w:rsid w:val="00C37BAE"/>
    <w:rsid w:val="00C4043D"/>
    <w:rsid w:val="00C40DAA"/>
    <w:rsid w:val="00C41D2C"/>
    <w:rsid w:val="00C41F7E"/>
    <w:rsid w:val="00C42A1B"/>
    <w:rsid w:val="00C42B41"/>
    <w:rsid w:val="00C42C1F"/>
    <w:rsid w:val="00C44A8D"/>
    <w:rsid w:val="00C44CF8"/>
    <w:rsid w:val="00C45B91"/>
    <w:rsid w:val="00C460A1"/>
    <w:rsid w:val="00C4789C"/>
    <w:rsid w:val="00C52C02"/>
    <w:rsid w:val="00C52DCB"/>
    <w:rsid w:val="00C53CC0"/>
    <w:rsid w:val="00C57EE8"/>
    <w:rsid w:val="00C61072"/>
    <w:rsid w:val="00C6243C"/>
    <w:rsid w:val="00C62F54"/>
    <w:rsid w:val="00C63AEA"/>
    <w:rsid w:val="00C663E5"/>
    <w:rsid w:val="00C67BBF"/>
    <w:rsid w:val="00C70168"/>
    <w:rsid w:val="00C718DD"/>
    <w:rsid w:val="00C71AFB"/>
    <w:rsid w:val="00C72CC0"/>
    <w:rsid w:val="00C74707"/>
    <w:rsid w:val="00C76013"/>
    <w:rsid w:val="00C767C7"/>
    <w:rsid w:val="00C779FD"/>
    <w:rsid w:val="00C77D84"/>
    <w:rsid w:val="00C80B9E"/>
    <w:rsid w:val="00C841B7"/>
    <w:rsid w:val="00C84A6C"/>
    <w:rsid w:val="00C8667D"/>
    <w:rsid w:val="00C86967"/>
    <w:rsid w:val="00C870AE"/>
    <w:rsid w:val="00C928A8"/>
    <w:rsid w:val="00C93044"/>
    <w:rsid w:val="00C95246"/>
    <w:rsid w:val="00CA056A"/>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A3C"/>
    <w:rsid w:val="00CC7B94"/>
    <w:rsid w:val="00CD6E8E"/>
    <w:rsid w:val="00CD79D9"/>
    <w:rsid w:val="00CE161F"/>
    <w:rsid w:val="00CE2CC6"/>
    <w:rsid w:val="00CE2E9E"/>
    <w:rsid w:val="00CE3529"/>
    <w:rsid w:val="00CE4320"/>
    <w:rsid w:val="00CE5D9A"/>
    <w:rsid w:val="00CE7665"/>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828"/>
    <w:rsid w:val="00D071B0"/>
    <w:rsid w:val="00D114B2"/>
    <w:rsid w:val="00D121C4"/>
    <w:rsid w:val="00D14274"/>
    <w:rsid w:val="00D152B7"/>
    <w:rsid w:val="00D15E5B"/>
    <w:rsid w:val="00D16557"/>
    <w:rsid w:val="00D17C62"/>
    <w:rsid w:val="00D212F6"/>
    <w:rsid w:val="00D21586"/>
    <w:rsid w:val="00D21EA5"/>
    <w:rsid w:val="00D23A38"/>
    <w:rsid w:val="00D2574C"/>
    <w:rsid w:val="00D26D79"/>
    <w:rsid w:val="00D27C2B"/>
    <w:rsid w:val="00D30990"/>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8EC"/>
    <w:rsid w:val="00D54AAC"/>
    <w:rsid w:val="00D54B32"/>
    <w:rsid w:val="00D55DF0"/>
    <w:rsid w:val="00D563E1"/>
    <w:rsid w:val="00D56BB6"/>
    <w:rsid w:val="00D6022B"/>
    <w:rsid w:val="00D60C40"/>
    <w:rsid w:val="00D6138D"/>
    <w:rsid w:val="00D6166E"/>
    <w:rsid w:val="00D63126"/>
    <w:rsid w:val="00D6343A"/>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B6827"/>
    <w:rsid w:val="00DC0AB6"/>
    <w:rsid w:val="00DC21CF"/>
    <w:rsid w:val="00DC3395"/>
    <w:rsid w:val="00DC3664"/>
    <w:rsid w:val="00DC4B9B"/>
    <w:rsid w:val="00DC6591"/>
    <w:rsid w:val="00DC6EFC"/>
    <w:rsid w:val="00DC7CDE"/>
    <w:rsid w:val="00DD195B"/>
    <w:rsid w:val="00DD243F"/>
    <w:rsid w:val="00DD46E9"/>
    <w:rsid w:val="00DD4711"/>
    <w:rsid w:val="00DD4812"/>
    <w:rsid w:val="00DD4CA7"/>
    <w:rsid w:val="00DD792E"/>
    <w:rsid w:val="00DE0097"/>
    <w:rsid w:val="00DE05AE"/>
    <w:rsid w:val="00DE0897"/>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6E3"/>
    <w:rsid w:val="00E018C3"/>
    <w:rsid w:val="00E01C15"/>
    <w:rsid w:val="00E052B1"/>
    <w:rsid w:val="00E05886"/>
    <w:rsid w:val="00E077D0"/>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4778"/>
    <w:rsid w:val="00E35E48"/>
    <w:rsid w:val="00E35EDE"/>
    <w:rsid w:val="00E36528"/>
    <w:rsid w:val="00E409B4"/>
    <w:rsid w:val="00E40CF7"/>
    <w:rsid w:val="00E413B8"/>
    <w:rsid w:val="00E42346"/>
    <w:rsid w:val="00E434EB"/>
    <w:rsid w:val="00E440C0"/>
    <w:rsid w:val="00E4683D"/>
    <w:rsid w:val="00E46CA0"/>
    <w:rsid w:val="00E504A1"/>
    <w:rsid w:val="00E51231"/>
    <w:rsid w:val="00E52A67"/>
    <w:rsid w:val="00E55074"/>
    <w:rsid w:val="00E602A7"/>
    <w:rsid w:val="00E619E1"/>
    <w:rsid w:val="00E62FBE"/>
    <w:rsid w:val="00E63389"/>
    <w:rsid w:val="00E64597"/>
    <w:rsid w:val="00E65780"/>
    <w:rsid w:val="00E66AA1"/>
    <w:rsid w:val="00E66B6A"/>
    <w:rsid w:val="00E71243"/>
    <w:rsid w:val="00E71362"/>
    <w:rsid w:val="00E714D8"/>
    <w:rsid w:val="00E7168A"/>
    <w:rsid w:val="00E71D25"/>
    <w:rsid w:val="00E724D0"/>
    <w:rsid w:val="00E7267D"/>
    <w:rsid w:val="00E7295C"/>
    <w:rsid w:val="00E73306"/>
    <w:rsid w:val="00E74817"/>
    <w:rsid w:val="00E74F1A"/>
    <w:rsid w:val="00E74FE4"/>
    <w:rsid w:val="00E7738D"/>
    <w:rsid w:val="00E77F00"/>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668"/>
    <w:rsid w:val="00EA7F5C"/>
    <w:rsid w:val="00EB193D"/>
    <w:rsid w:val="00EB2A71"/>
    <w:rsid w:val="00EB32CF"/>
    <w:rsid w:val="00EB4DDA"/>
    <w:rsid w:val="00EB6B23"/>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D7336"/>
    <w:rsid w:val="00EE1058"/>
    <w:rsid w:val="00EE1089"/>
    <w:rsid w:val="00EE3260"/>
    <w:rsid w:val="00EE3CF3"/>
    <w:rsid w:val="00EE50F0"/>
    <w:rsid w:val="00EE5418"/>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6C4"/>
    <w:rsid w:val="00F20B40"/>
    <w:rsid w:val="00F2269A"/>
    <w:rsid w:val="00F22775"/>
    <w:rsid w:val="00F228A5"/>
    <w:rsid w:val="00F246D4"/>
    <w:rsid w:val="00F269DC"/>
    <w:rsid w:val="00F309E2"/>
    <w:rsid w:val="00F30C2D"/>
    <w:rsid w:val="00F318BD"/>
    <w:rsid w:val="00F32557"/>
    <w:rsid w:val="00F3258E"/>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58D"/>
    <w:rsid w:val="00F51928"/>
    <w:rsid w:val="00F543B3"/>
    <w:rsid w:val="00F5467A"/>
    <w:rsid w:val="00F5643A"/>
    <w:rsid w:val="00F56596"/>
    <w:rsid w:val="00F62236"/>
    <w:rsid w:val="00F642AF"/>
    <w:rsid w:val="00F650B4"/>
    <w:rsid w:val="00F65901"/>
    <w:rsid w:val="00F66B95"/>
    <w:rsid w:val="00F706AA"/>
    <w:rsid w:val="00F715D0"/>
    <w:rsid w:val="00F717E7"/>
    <w:rsid w:val="00F71C14"/>
    <w:rsid w:val="00F724A1"/>
    <w:rsid w:val="00F7288E"/>
    <w:rsid w:val="00F740FA"/>
    <w:rsid w:val="00F7632C"/>
    <w:rsid w:val="00F76FDC"/>
    <w:rsid w:val="00F771C6"/>
    <w:rsid w:val="00F77ED7"/>
    <w:rsid w:val="00F80F5D"/>
    <w:rsid w:val="00F83143"/>
    <w:rsid w:val="00F83B66"/>
    <w:rsid w:val="00F84564"/>
    <w:rsid w:val="00F85266"/>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115"/>
    <w:rsid w:val="00FB1AF9"/>
    <w:rsid w:val="00FB1D69"/>
    <w:rsid w:val="00FB2812"/>
    <w:rsid w:val="00FB3570"/>
    <w:rsid w:val="00FB5CE6"/>
    <w:rsid w:val="00FB7100"/>
    <w:rsid w:val="00FC0636"/>
    <w:rsid w:val="00FC0C6F"/>
    <w:rsid w:val="00FC14C7"/>
    <w:rsid w:val="00FC2758"/>
    <w:rsid w:val="00FC3523"/>
    <w:rsid w:val="00FC3C3B"/>
    <w:rsid w:val="00FC44C4"/>
    <w:rsid w:val="00FC4F7B"/>
    <w:rsid w:val="00FC755A"/>
    <w:rsid w:val="00FD05FD"/>
    <w:rsid w:val="00FD14FE"/>
    <w:rsid w:val="00FD1F94"/>
    <w:rsid w:val="00FD21A7"/>
    <w:rsid w:val="00FD3347"/>
    <w:rsid w:val="00FD40E9"/>
    <w:rsid w:val="00FD495B"/>
    <w:rsid w:val="00FD77F5"/>
    <w:rsid w:val="00FD7EC3"/>
    <w:rsid w:val="00FE0C73"/>
    <w:rsid w:val="00FE0F38"/>
    <w:rsid w:val="00FE108E"/>
    <w:rsid w:val="00FE10F9"/>
    <w:rsid w:val="00FE126B"/>
    <w:rsid w:val="00FE2356"/>
    <w:rsid w:val="00FE2629"/>
    <w:rsid w:val="00FE40B5"/>
    <w:rsid w:val="00FE4241"/>
    <w:rsid w:val="00FE660C"/>
    <w:rsid w:val="00FF0F2A"/>
    <w:rsid w:val="00FF492B"/>
    <w:rsid w:val="00FF5EC7"/>
    <w:rsid w:val="00FF7815"/>
    <w:rsid w:val="00FF7892"/>
    <w:rsid w:val="011A1DE1"/>
    <w:rsid w:val="01513B90"/>
    <w:rsid w:val="01A66E50"/>
    <w:rsid w:val="02898838"/>
    <w:rsid w:val="02D21150"/>
    <w:rsid w:val="03099A5B"/>
    <w:rsid w:val="0378F438"/>
    <w:rsid w:val="064872CF"/>
    <w:rsid w:val="0788DBBA"/>
    <w:rsid w:val="07D9D609"/>
    <w:rsid w:val="086C9893"/>
    <w:rsid w:val="0AD8621C"/>
    <w:rsid w:val="0AF9819C"/>
    <w:rsid w:val="0B0F7089"/>
    <w:rsid w:val="0C135E74"/>
    <w:rsid w:val="0C9534ED"/>
    <w:rsid w:val="0D5D48A3"/>
    <w:rsid w:val="0DB0D88C"/>
    <w:rsid w:val="0DC07444"/>
    <w:rsid w:val="0F8438E6"/>
    <w:rsid w:val="0FB0C351"/>
    <w:rsid w:val="10186043"/>
    <w:rsid w:val="1043EC2D"/>
    <w:rsid w:val="10779759"/>
    <w:rsid w:val="10F35F80"/>
    <w:rsid w:val="1245A57F"/>
    <w:rsid w:val="146FCFF3"/>
    <w:rsid w:val="1551EFC5"/>
    <w:rsid w:val="15689783"/>
    <w:rsid w:val="15900A60"/>
    <w:rsid w:val="1591E5D9"/>
    <w:rsid w:val="15BCBFF4"/>
    <w:rsid w:val="1770FFD8"/>
    <w:rsid w:val="179CE492"/>
    <w:rsid w:val="18C20F65"/>
    <w:rsid w:val="1911F2CF"/>
    <w:rsid w:val="1ABA5A8F"/>
    <w:rsid w:val="1ADE8DCC"/>
    <w:rsid w:val="1C33CA72"/>
    <w:rsid w:val="1C473B1A"/>
    <w:rsid w:val="1C47F9F5"/>
    <w:rsid w:val="1C844562"/>
    <w:rsid w:val="1D84BA08"/>
    <w:rsid w:val="1DD3B45D"/>
    <w:rsid w:val="1E5E3ED3"/>
    <w:rsid w:val="1E6159BF"/>
    <w:rsid w:val="1F3E4799"/>
    <w:rsid w:val="1F52FFF6"/>
    <w:rsid w:val="203BC3D0"/>
    <w:rsid w:val="20567753"/>
    <w:rsid w:val="207DE887"/>
    <w:rsid w:val="20C59048"/>
    <w:rsid w:val="216FF2B9"/>
    <w:rsid w:val="21B1DCC2"/>
    <w:rsid w:val="2228E291"/>
    <w:rsid w:val="236640C7"/>
    <w:rsid w:val="249608DF"/>
    <w:rsid w:val="250DB7D7"/>
    <w:rsid w:val="25655003"/>
    <w:rsid w:val="25DC8FC6"/>
    <w:rsid w:val="26A34FED"/>
    <w:rsid w:val="26B78F03"/>
    <w:rsid w:val="27019500"/>
    <w:rsid w:val="2804572F"/>
    <w:rsid w:val="282BCAF9"/>
    <w:rsid w:val="29BFFE74"/>
    <w:rsid w:val="29C66FBA"/>
    <w:rsid w:val="2A0AC5DB"/>
    <w:rsid w:val="2A740B21"/>
    <w:rsid w:val="2A8AEBA3"/>
    <w:rsid w:val="2A929AD0"/>
    <w:rsid w:val="2A9FD1FF"/>
    <w:rsid w:val="2B158302"/>
    <w:rsid w:val="2B3AC4EA"/>
    <w:rsid w:val="2C26BC04"/>
    <w:rsid w:val="2C352006"/>
    <w:rsid w:val="2CCED3AD"/>
    <w:rsid w:val="2DC92D4C"/>
    <w:rsid w:val="2DFB0252"/>
    <w:rsid w:val="2E8B6A64"/>
    <w:rsid w:val="2F96D2B3"/>
    <w:rsid w:val="30F7EBF8"/>
    <w:rsid w:val="312FFE95"/>
    <w:rsid w:val="31AB0DD1"/>
    <w:rsid w:val="31F733DC"/>
    <w:rsid w:val="338ABB5F"/>
    <w:rsid w:val="34E6F5FC"/>
    <w:rsid w:val="35FFE7A2"/>
    <w:rsid w:val="37073BF4"/>
    <w:rsid w:val="37C916DD"/>
    <w:rsid w:val="381C5AAE"/>
    <w:rsid w:val="3A6F7D74"/>
    <w:rsid w:val="3B11C8C8"/>
    <w:rsid w:val="3BE56FF6"/>
    <w:rsid w:val="3C6460AE"/>
    <w:rsid w:val="3C7600C4"/>
    <w:rsid w:val="3E112DA0"/>
    <w:rsid w:val="3EBE02C9"/>
    <w:rsid w:val="3EF81FA4"/>
    <w:rsid w:val="4103C4FE"/>
    <w:rsid w:val="41A937D4"/>
    <w:rsid w:val="41F29AB4"/>
    <w:rsid w:val="47936CE4"/>
    <w:rsid w:val="4A6A1E78"/>
    <w:rsid w:val="4AB117AC"/>
    <w:rsid w:val="4C90A44C"/>
    <w:rsid w:val="4D392E56"/>
    <w:rsid w:val="4DA811DF"/>
    <w:rsid w:val="4DE87D4A"/>
    <w:rsid w:val="4E444709"/>
    <w:rsid w:val="4ED4FEB7"/>
    <w:rsid w:val="4FA89D50"/>
    <w:rsid w:val="4FBDD54C"/>
    <w:rsid w:val="5173E22F"/>
    <w:rsid w:val="53C12F4D"/>
    <w:rsid w:val="5452BAA5"/>
    <w:rsid w:val="54783909"/>
    <w:rsid w:val="54851BF9"/>
    <w:rsid w:val="55A920CF"/>
    <w:rsid w:val="5606E06E"/>
    <w:rsid w:val="56DC6DFA"/>
    <w:rsid w:val="570995EB"/>
    <w:rsid w:val="58351DD4"/>
    <w:rsid w:val="588C7D71"/>
    <w:rsid w:val="58AA1A22"/>
    <w:rsid w:val="5927C825"/>
    <w:rsid w:val="5C884447"/>
    <w:rsid w:val="5CDA8020"/>
    <w:rsid w:val="5DE27ACA"/>
    <w:rsid w:val="5ED259D9"/>
    <w:rsid w:val="5F076758"/>
    <w:rsid w:val="5F94DA0E"/>
    <w:rsid w:val="6066974A"/>
    <w:rsid w:val="6093F90A"/>
    <w:rsid w:val="6332B68E"/>
    <w:rsid w:val="639D0CE4"/>
    <w:rsid w:val="642E9643"/>
    <w:rsid w:val="64440DCE"/>
    <w:rsid w:val="647C2D6B"/>
    <w:rsid w:val="6567A7D3"/>
    <w:rsid w:val="688978DE"/>
    <w:rsid w:val="68EF4BD4"/>
    <w:rsid w:val="69F1491C"/>
    <w:rsid w:val="69F25770"/>
    <w:rsid w:val="6B1F93A8"/>
    <w:rsid w:val="6BC119A0"/>
    <w:rsid w:val="6D2A5114"/>
    <w:rsid w:val="6DEA4361"/>
    <w:rsid w:val="6E2297D8"/>
    <w:rsid w:val="6E6F2154"/>
    <w:rsid w:val="6FA9A607"/>
    <w:rsid w:val="6FD70B60"/>
    <w:rsid w:val="702DDD65"/>
    <w:rsid w:val="712CA758"/>
    <w:rsid w:val="716886C6"/>
    <w:rsid w:val="726E7AE0"/>
    <w:rsid w:val="72C107D5"/>
    <w:rsid w:val="72CD7883"/>
    <w:rsid w:val="73241E17"/>
    <w:rsid w:val="74012BE4"/>
    <w:rsid w:val="7405225F"/>
    <w:rsid w:val="74861CCA"/>
    <w:rsid w:val="75BA22B9"/>
    <w:rsid w:val="78A6F2B6"/>
    <w:rsid w:val="79678F02"/>
    <w:rsid w:val="7C548E90"/>
    <w:rsid w:val="7C73C194"/>
    <w:rsid w:val="7D2884C4"/>
    <w:rsid w:val="7E42C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6777"/>
  <w14:defaultImageDpi w14:val="32767"/>
  <w15:chartTrackingRefBased/>
  <w15:docId w15:val="{25780B59-2B73-4DCC-8D70-467728D0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22ED5"/>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822ED5"/>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822ED5"/>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822ED5"/>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822ED5"/>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822ED5"/>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822ED5"/>
    <w:pPr>
      <w:tabs>
        <w:tab w:val="right" w:leader="dot" w:pos="14570"/>
      </w:tabs>
      <w:spacing w:before="0"/>
    </w:pPr>
    <w:rPr>
      <w:b/>
      <w:noProof/>
    </w:rPr>
  </w:style>
  <w:style w:type="paragraph" w:styleId="TOC2">
    <w:name w:val="toc 2"/>
    <w:aliases w:val="ŠTOC 2"/>
    <w:basedOn w:val="Normal"/>
    <w:next w:val="Normal"/>
    <w:uiPriority w:val="39"/>
    <w:unhideWhenUsed/>
    <w:rsid w:val="00822ED5"/>
    <w:pPr>
      <w:tabs>
        <w:tab w:val="right" w:leader="dot" w:pos="14570"/>
      </w:tabs>
      <w:spacing w:before="0"/>
    </w:pPr>
    <w:rPr>
      <w:noProof/>
    </w:rPr>
  </w:style>
  <w:style w:type="paragraph" w:styleId="Header">
    <w:name w:val="header"/>
    <w:aliases w:val="ŠHeader"/>
    <w:basedOn w:val="Normal"/>
    <w:link w:val="HeaderChar"/>
    <w:uiPriority w:val="16"/>
    <w:rsid w:val="00822ED5"/>
    <w:rPr>
      <w:noProof/>
      <w:color w:val="002664"/>
      <w:sz w:val="28"/>
      <w:szCs w:val="28"/>
    </w:rPr>
  </w:style>
  <w:style w:type="character" w:customStyle="1" w:styleId="Heading5Char">
    <w:name w:val="Heading 5 Char"/>
    <w:aliases w:val="ŠHeading 5 Char"/>
    <w:basedOn w:val="DefaultParagraphFont"/>
    <w:link w:val="Heading5"/>
    <w:uiPriority w:val="6"/>
    <w:rsid w:val="00822ED5"/>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822ED5"/>
    <w:rPr>
      <w:rFonts w:ascii="Arial" w:hAnsi="Arial" w:cs="Arial"/>
      <w:noProof/>
      <w:color w:val="002664"/>
      <w:sz w:val="28"/>
      <w:szCs w:val="28"/>
      <w:lang w:val="en-AU"/>
    </w:rPr>
  </w:style>
  <w:style w:type="paragraph" w:styleId="Footer">
    <w:name w:val="footer"/>
    <w:aliases w:val="ŠFooter"/>
    <w:basedOn w:val="Normal"/>
    <w:link w:val="FooterChar"/>
    <w:uiPriority w:val="19"/>
    <w:rsid w:val="00822ED5"/>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822ED5"/>
    <w:rPr>
      <w:rFonts w:ascii="Arial" w:hAnsi="Arial" w:cs="Arial"/>
      <w:sz w:val="18"/>
      <w:szCs w:val="18"/>
      <w:lang w:val="en-AU"/>
    </w:rPr>
  </w:style>
  <w:style w:type="paragraph" w:styleId="Caption">
    <w:name w:val="caption"/>
    <w:aliases w:val="ŠCaption"/>
    <w:basedOn w:val="Normal"/>
    <w:next w:val="Normal"/>
    <w:uiPriority w:val="20"/>
    <w:qFormat/>
    <w:rsid w:val="00822ED5"/>
    <w:pPr>
      <w:keepNext/>
      <w:spacing w:after="200" w:line="240" w:lineRule="auto"/>
    </w:pPr>
    <w:rPr>
      <w:iCs/>
      <w:color w:val="002664"/>
      <w:sz w:val="18"/>
      <w:szCs w:val="18"/>
    </w:rPr>
  </w:style>
  <w:style w:type="paragraph" w:customStyle="1" w:styleId="Logo">
    <w:name w:val="ŠLogo"/>
    <w:basedOn w:val="Normal"/>
    <w:uiPriority w:val="18"/>
    <w:qFormat/>
    <w:rsid w:val="00822ED5"/>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822ED5"/>
    <w:pPr>
      <w:spacing w:before="0"/>
      <w:ind w:left="244"/>
    </w:pPr>
  </w:style>
  <w:style w:type="character" w:styleId="Hyperlink">
    <w:name w:val="Hyperlink"/>
    <w:aliases w:val="ŠHyperlink"/>
    <w:basedOn w:val="DefaultParagraphFont"/>
    <w:uiPriority w:val="99"/>
    <w:unhideWhenUsed/>
    <w:rsid w:val="00822ED5"/>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822ED5"/>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822ED5"/>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822ED5"/>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822ED5"/>
    <w:rPr>
      <w:rFonts w:ascii="Arial" w:hAnsi="Arial" w:cs="Arial"/>
      <w:color w:val="002664"/>
      <w:sz w:val="28"/>
      <w:szCs w:val="36"/>
      <w:lang w:val="en-AU"/>
    </w:rPr>
  </w:style>
  <w:style w:type="table" w:customStyle="1" w:styleId="Tableheader">
    <w:name w:val="ŠTable header"/>
    <w:basedOn w:val="TableNormal"/>
    <w:uiPriority w:val="99"/>
    <w:rsid w:val="00822ED5"/>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822ED5"/>
    <w:pPr>
      <w:numPr>
        <w:numId w:val="21"/>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822ED5"/>
    <w:pPr>
      <w:numPr>
        <w:numId w:val="17"/>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822ED5"/>
    <w:pPr>
      <w:numPr>
        <w:numId w:val="22"/>
      </w:numPr>
    </w:pPr>
  </w:style>
  <w:style w:type="character" w:styleId="Strong">
    <w:name w:val="Strong"/>
    <w:aliases w:val="ŠStrong,Bold"/>
    <w:qFormat/>
    <w:rsid w:val="00822ED5"/>
    <w:rPr>
      <w:b/>
      <w:bCs/>
    </w:rPr>
  </w:style>
  <w:style w:type="paragraph" w:styleId="ListBullet">
    <w:name w:val="List Bullet"/>
    <w:aliases w:val="ŠList Bullet"/>
    <w:basedOn w:val="Normal"/>
    <w:uiPriority w:val="9"/>
    <w:qFormat/>
    <w:rsid w:val="00822ED5"/>
    <w:pPr>
      <w:numPr>
        <w:numId w:val="19"/>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822ED5"/>
    <w:rPr>
      <w:i/>
      <w:iCs/>
    </w:rPr>
  </w:style>
  <w:style w:type="paragraph" w:styleId="Title">
    <w:name w:val="Title"/>
    <w:aliases w:val="ŠTitle"/>
    <w:basedOn w:val="Normal"/>
    <w:next w:val="Normal"/>
    <w:link w:val="TitleChar"/>
    <w:uiPriority w:val="1"/>
    <w:rsid w:val="00822ED5"/>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822ED5"/>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822ED5"/>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822ED5"/>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822ED5"/>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NormalWeb">
    <w:name w:val="Normal (Web)"/>
    <w:basedOn w:val="Normal"/>
    <w:uiPriority w:val="99"/>
    <w:semiHidden/>
    <w:unhideWhenUsed/>
    <w:rsid w:val="004732E5"/>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822ED5"/>
    <w:rPr>
      <w:color w:val="605E5C"/>
      <w:shd w:val="clear" w:color="auto" w:fill="E1DFDD"/>
    </w:rPr>
  </w:style>
  <w:style w:type="character" w:styleId="FollowedHyperlink">
    <w:name w:val="FollowedHyperlink"/>
    <w:basedOn w:val="DefaultParagraphFont"/>
    <w:uiPriority w:val="99"/>
    <w:semiHidden/>
    <w:unhideWhenUsed/>
    <w:rsid w:val="00822ED5"/>
    <w:rPr>
      <w:color w:val="954F72" w:themeColor="followedHyperlink"/>
      <w:u w:val="single"/>
    </w:rPr>
  </w:style>
  <w:style w:type="paragraph" w:styleId="CommentText">
    <w:name w:val="annotation text"/>
    <w:basedOn w:val="Normal"/>
    <w:link w:val="CommentTextChar"/>
    <w:uiPriority w:val="99"/>
    <w:unhideWhenUsed/>
    <w:rsid w:val="00822ED5"/>
    <w:pPr>
      <w:spacing w:line="240" w:lineRule="auto"/>
    </w:pPr>
    <w:rPr>
      <w:sz w:val="20"/>
      <w:szCs w:val="20"/>
    </w:rPr>
  </w:style>
  <w:style w:type="character" w:customStyle="1" w:styleId="CommentTextChar">
    <w:name w:val="Comment Text Char"/>
    <w:basedOn w:val="DefaultParagraphFont"/>
    <w:link w:val="CommentText"/>
    <w:uiPriority w:val="99"/>
    <w:rsid w:val="00822ED5"/>
    <w:rPr>
      <w:rFonts w:ascii="Arial" w:hAnsi="Arial" w:cs="Arial"/>
      <w:sz w:val="20"/>
      <w:szCs w:val="20"/>
      <w:lang w:val="en-AU"/>
    </w:rPr>
  </w:style>
  <w:style w:type="character" w:styleId="CommentReference">
    <w:name w:val="annotation reference"/>
    <w:basedOn w:val="DefaultParagraphFont"/>
    <w:uiPriority w:val="99"/>
    <w:semiHidden/>
    <w:unhideWhenUsed/>
    <w:rsid w:val="00822ED5"/>
    <w:rPr>
      <w:sz w:val="16"/>
      <w:szCs w:val="16"/>
    </w:rPr>
  </w:style>
  <w:style w:type="paragraph" w:styleId="CommentSubject">
    <w:name w:val="annotation subject"/>
    <w:basedOn w:val="CommentText"/>
    <w:next w:val="CommentText"/>
    <w:link w:val="CommentSubjectChar"/>
    <w:uiPriority w:val="99"/>
    <w:semiHidden/>
    <w:unhideWhenUsed/>
    <w:rsid w:val="00822ED5"/>
    <w:rPr>
      <w:b/>
      <w:bCs/>
    </w:rPr>
  </w:style>
  <w:style w:type="character" w:customStyle="1" w:styleId="CommentSubjectChar">
    <w:name w:val="Comment Subject Char"/>
    <w:basedOn w:val="CommentTextChar"/>
    <w:link w:val="CommentSubject"/>
    <w:uiPriority w:val="99"/>
    <w:semiHidden/>
    <w:rsid w:val="00822ED5"/>
    <w:rPr>
      <w:rFonts w:ascii="Arial" w:hAnsi="Arial" w:cs="Arial"/>
      <w:b/>
      <w:bCs/>
      <w:sz w:val="20"/>
      <w:szCs w:val="20"/>
      <w:lang w:val="en-AU"/>
    </w:rPr>
  </w:style>
  <w:style w:type="paragraph" w:customStyle="1" w:styleId="FeatureBox3">
    <w:name w:val="ŠFeature Box 3"/>
    <w:basedOn w:val="Normal"/>
    <w:next w:val="Normal"/>
    <w:uiPriority w:val="13"/>
    <w:qFormat/>
    <w:rsid w:val="00822ED5"/>
    <w:pPr>
      <w:pBdr>
        <w:top w:val="single" w:sz="24" w:space="10" w:color="FFB8C2"/>
        <w:left w:val="single" w:sz="24" w:space="10" w:color="FFB8C2"/>
        <w:bottom w:val="single" w:sz="24" w:space="10" w:color="FFB8C2"/>
        <w:right w:val="single" w:sz="24" w:space="10" w:color="FFB8C2"/>
      </w:pBdr>
      <w:shd w:val="clear" w:color="auto" w:fill="FFB8C2"/>
    </w:pPr>
  </w:style>
  <w:style w:type="character" w:styleId="Mention">
    <w:name w:val="Mention"/>
    <w:basedOn w:val="DefaultParagraphFont"/>
    <w:uiPriority w:val="99"/>
    <w:unhideWhenUsed/>
    <w:rPr>
      <w:color w:val="2B579A"/>
      <w:shd w:val="clear" w:color="auto" w:fill="E6E6E6"/>
    </w:rPr>
  </w:style>
  <w:style w:type="paragraph" w:styleId="ListBullet3">
    <w:name w:val="List Bullet 3"/>
    <w:aliases w:val="ŠList Bullet 3"/>
    <w:basedOn w:val="Normal"/>
    <w:uiPriority w:val="10"/>
    <w:rsid w:val="00822ED5"/>
    <w:pPr>
      <w:numPr>
        <w:numId w:val="18"/>
      </w:numPr>
    </w:pPr>
  </w:style>
  <w:style w:type="paragraph" w:styleId="ListNumber3">
    <w:name w:val="List Number 3"/>
    <w:aliases w:val="ŠList Number 3"/>
    <w:basedOn w:val="ListBullet3"/>
    <w:uiPriority w:val="8"/>
    <w:rsid w:val="00822ED5"/>
    <w:pPr>
      <w:numPr>
        <w:ilvl w:val="2"/>
        <w:numId w:val="21"/>
      </w:numPr>
    </w:pPr>
  </w:style>
  <w:style w:type="paragraph" w:styleId="ListParagraph">
    <w:name w:val="List Paragraph"/>
    <w:aliases w:val="ŠList Paragraph"/>
    <w:basedOn w:val="Normal"/>
    <w:uiPriority w:val="34"/>
    <w:unhideWhenUsed/>
    <w:qFormat/>
    <w:rsid w:val="00822ED5"/>
    <w:pPr>
      <w:ind w:left="567"/>
    </w:pPr>
  </w:style>
  <w:style w:type="character" w:styleId="PlaceholderText">
    <w:name w:val="Placeholder Text"/>
    <w:basedOn w:val="DefaultParagraphFont"/>
    <w:uiPriority w:val="99"/>
    <w:semiHidden/>
    <w:rsid w:val="00822ED5"/>
    <w:rPr>
      <w:color w:val="808080"/>
    </w:rPr>
  </w:style>
  <w:style w:type="character" w:customStyle="1" w:styleId="BoldItalic">
    <w:name w:val="ŠBold Italic"/>
    <w:basedOn w:val="DefaultParagraphFont"/>
    <w:uiPriority w:val="1"/>
    <w:qFormat/>
    <w:rsid w:val="00822ED5"/>
    <w:rPr>
      <w:b/>
      <w:i/>
      <w:iCs/>
    </w:rPr>
  </w:style>
  <w:style w:type="paragraph" w:customStyle="1" w:styleId="Documentname">
    <w:name w:val="ŠDocument name"/>
    <w:basedOn w:val="Normal"/>
    <w:next w:val="Normal"/>
    <w:uiPriority w:val="17"/>
    <w:qFormat/>
    <w:rsid w:val="00822ED5"/>
    <w:pPr>
      <w:pBdr>
        <w:bottom w:val="single" w:sz="8" w:space="10" w:color="D0CECE" w:themeColor="background2" w:themeShade="E6"/>
      </w:pBdr>
      <w:spacing w:before="0" w:after="240" w:line="276" w:lineRule="auto"/>
      <w:jc w:val="right"/>
    </w:pPr>
    <w:rPr>
      <w:bCs/>
      <w:sz w:val="18"/>
      <w:szCs w:val="18"/>
    </w:rPr>
  </w:style>
  <w:style w:type="paragraph" w:customStyle="1" w:styleId="FeatureBox4">
    <w:name w:val="ŠFeature Box 4"/>
    <w:basedOn w:val="FeatureBox2"/>
    <w:next w:val="Normal"/>
    <w:uiPriority w:val="14"/>
    <w:qFormat/>
    <w:rsid w:val="00822ED5"/>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822ED5"/>
    <w:pPr>
      <w:spacing w:after="0"/>
    </w:pPr>
    <w:rPr>
      <w:sz w:val="18"/>
      <w:szCs w:val="18"/>
    </w:rPr>
  </w:style>
  <w:style w:type="paragraph" w:customStyle="1" w:styleId="Pulloutquote">
    <w:name w:val="ŠPull out quote"/>
    <w:basedOn w:val="Normal"/>
    <w:next w:val="Normal"/>
    <w:uiPriority w:val="20"/>
    <w:qFormat/>
    <w:rsid w:val="00822ED5"/>
    <w:pPr>
      <w:keepNext/>
      <w:ind w:left="567" w:right="57"/>
    </w:pPr>
    <w:rPr>
      <w:szCs w:val="22"/>
    </w:rPr>
  </w:style>
  <w:style w:type="paragraph" w:customStyle="1" w:styleId="Subtitle">
    <w:name w:val="ŠSubtitle"/>
    <w:basedOn w:val="Normal"/>
    <w:link w:val="SubtitleChar"/>
    <w:uiPriority w:val="2"/>
    <w:qFormat/>
    <w:rsid w:val="00822ED5"/>
    <w:pPr>
      <w:spacing w:before="360"/>
    </w:pPr>
    <w:rPr>
      <w:color w:val="002664"/>
      <w:sz w:val="44"/>
      <w:szCs w:val="48"/>
    </w:rPr>
  </w:style>
  <w:style w:type="character" w:customStyle="1" w:styleId="SubtitleChar">
    <w:name w:val="ŠSubtitle Char"/>
    <w:basedOn w:val="DefaultParagraphFont"/>
    <w:link w:val="Subtitle"/>
    <w:uiPriority w:val="2"/>
    <w:rsid w:val="00822ED5"/>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822ED5"/>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822ED5"/>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822ED5"/>
    <w:rPr>
      <w:i/>
      <w:iCs/>
      <w:color w:val="404040" w:themeColor="text1" w:themeTint="BF"/>
    </w:rPr>
  </w:style>
  <w:style w:type="paragraph" w:styleId="TOC4">
    <w:name w:val="toc 4"/>
    <w:aliases w:val="ŠTOC 4"/>
    <w:basedOn w:val="Normal"/>
    <w:next w:val="Normal"/>
    <w:autoRedefine/>
    <w:uiPriority w:val="39"/>
    <w:unhideWhenUsed/>
    <w:rsid w:val="00822ED5"/>
    <w:pPr>
      <w:spacing w:before="0"/>
      <w:ind w:left="488"/>
    </w:pPr>
  </w:style>
  <w:style w:type="paragraph" w:styleId="TOCHeading">
    <w:name w:val="TOC Heading"/>
    <w:aliases w:val="ŠTOC Heading"/>
    <w:basedOn w:val="Heading1"/>
    <w:next w:val="Normal"/>
    <w:uiPriority w:val="38"/>
    <w:qFormat/>
    <w:rsid w:val="00822ED5"/>
    <w:pPr>
      <w:spacing w:after="240"/>
      <w:outlineLvl w:val="9"/>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80341">
      <w:bodyDiv w:val="1"/>
      <w:marLeft w:val="0"/>
      <w:marRight w:val="0"/>
      <w:marTop w:val="0"/>
      <w:marBottom w:val="0"/>
      <w:divBdr>
        <w:top w:val="none" w:sz="0" w:space="0" w:color="auto"/>
        <w:left w:val="none" w:sz="0" w:space="0" w:color="auto"/>
        <w:bottom w:val="none" w:sz="0" w:space="0" w:color="auto"/>
        <w:right w:val="none" w:sz="0" w:space="0" w:color="auto"/>
      </w:divBdr>
    </w:div>
    <w:div w:id="877737295">
      <w:bodyDiv w:val="1"/>
      <w:marLeft w:val="0"/>
      <w:marRight w:val="0"/>
      <w:marTop w:val="0"/>
      <w:marBottom w:val="0"/>
      <w:divBdr>
        <w:top w:val="none" w:sz="0" w:space="0" w:color="auto"/>
        <w:left w:val="none" w:sz="0" w:space="0" w:color="auto"/>
        <w:bottom w:val="none" w:sz="0" w:space="0" w:color="auto"/>
        <w:right w:val="none" w:sz="0" w:space="0" w:color="auto"/>
      </w:divBdr>
    </w:div>
    <w:div w:id="1062143880">
      <w:bodyDiv w:val="1"/>
      <w:marLeft w:val="0"/>
      <w:marRight w:val="0"/>
      <w:marTop w:val="0"/>
      <w:marBottom w:val="0"/>
      <w:divBdr>
        <w:top w:val="none" w:sz="0" w:space="0" w:color="auto"/>
        <w:left w:val="none" w:sz="0" w:space="0" w:color="auto"/>
        <w:bottom w:val="none" w:sz="0" w:space="0" w:color="auto"/>
        <w:right w:val="none" w:sz="0" w:space="0" w:color="auto"/>
      </w:divBdr>
      <w:divsChild>
        <w:div w:id="574048749">
          <w:marLeft w:val="0"/>
          <w:marRight w:val="0"/>
          <w:marTop w:val="0"/>
          <w:marBottom w:val="0"/>
          <w:divBdr>
            <w:top w:val="none" w:sz="0" w:space="0" w:color="auto"/>
            <w:left w:val="none" w:sz="0" w:space="0" w:color="auto"/>
            <w:bottom w:val="none" w:sz="0" w:space="0" w:color="auto"/>
            <w:right w:val="none" w:sz="0" w:space="0" w:color="auto"/>
          </w:divBdr>
        </w:div>
        <w:div w:id="883910168">
          <w:marLeft w:val="0"/>
          <w:marRight w:val="0"/>
          <w:marTop w:val="0"/>
          <w:marBottom w:val="0"/>
          <w:divBdr>
            <w:top w:val="none" w:sz="0" w:space="0" w:color="auto"/>
            <w:left w:val="none" w:sz="0" w:space="0" w:color="auto"/>
            <w:bottom w:val="none" w:sz="0" w:space="0" w:color="auto"/>
            <w:right w:val="none" w:sz="0" w:space="0" w:color="auto"/>
          </w:divBdr>
        </w:div>
      </w:divsChild>
    </w:div>
    <w:div w:id="1471166475">
      <w:bodyDiv w:val="1"/>
      <w:marLeft w:val="0"/>
      <w:marRight w:val="0"/>
      <w:marTop w:val="0"/>
      <w:marBottom w:val="0"/>
      <w:divBdr>
        <w:top w:val="none" w:sz="0" w:space="0" w:color="auto"/>
        <w:left w:val="none" w:sz="0" w:space="0" w:color="auto"/>
        <w:bottom w:val="none" w:sz="0" w:space="0" w:color="auto"/>
        <w:right w:val="none" w:sz="0" w:space="0" w:color="auto"/>
      </w:divBdr>
      <w:divsChild>
        <w:div w:id="1706101270">
          <w:marLeft w:val="0"/>
          <w:marRight w:val="0"/>
          <w:marTop w:val="0"/>
          <w:marBottom w:val="0"/>
          <w:divBdr>
            <w:top w:val="none" w:sz="0" w:space="0" w:color="auto"/>
            <w:left w:val="none" w:sz="0" w:space="0" w:color="auto"/>
            <w:bottom w:val="none" w:sz="0" w:space="0" w:color="auto"/>
            <w:right w:val="none" w:sz="0" w:space="0" w:color="auto"/>
          </w:divBdr>
          <w:divsChild>
            <w:div w:id="757022477">
              <w:marLeft w:val="0"/>
              <w:marRight w:val="0"/>
              <w:marTop w:val="0"/>
              <w:marBottom w:val="0"/>
              <w:divBdr>
                <w:top w:val="none" w:sz="0" w:space="0" w:color="auto"/>
                <w:left w:val="none" w:sz="0" w:space="0" w:color="auto"/>
                <w:bottom w:val="none" w:sz="0" w:space="0" w:color="auto"/>
                <w:right w:val="none" w:sz="0" w:space="0" w:color="auto"/>
              </w:divBdr>
            </w:div>
            <w:div w:id="1214466784">
              <w:marLeft w:val="0"/>
              <w:marRight w:val="0"/>
              <w:marTop w:val="0"/>
              <w:marBottom w:val="0"/>
              <w:divBdr>
                <w:top w:val="none" w:sz="0" w:space="0" w:color="auto"/>
                <w:left w:val="none" w:sz="0" w:space="0" w:color="auto"/>
                <w:bottom w:val="none" w:sz="0" w:space="0" w:color="auto"/>
                <w:right w:val="none" w:sz="0" w:space="0" w:color="auto"/>
              </w:divBdr>
            </w:div>
            <w:div w:id="138348679">
              <w:marLeft w:val="0"/>
              <w:marRight w:val="0"/>
              <w:marTop w:val="0"/>
              <w:marBottom w:val="0"/>
              <w:divBdr>
                <w:top w:val="none" w:sz="0" w:space="0" w:color="auto"/>
                <w:left w:val="none" w:sz="0" w:space="0" w:color="auto"/>
                <w:bottom w:val="none" w:sz="0" w:space="0" w:color="auto"/>
                <w:right w:val="none" w:sz="0" w:space="0" w:color="auto"/>
              </w:divBdr>
            </w:div>
            <w:div w:id="453671849">
              <w:marLeft w:val="0"/>
              <w:marRight w:val="0"/>
              <w:marTop w:val="0"/>
              <w:marBottom w:val="0"/>
              <w:divBdr>
                <w:top w:val="none" w:sz="0" w:space="0" w:color="auto"/>
                <w:left w:val="none" w:sz="0" w:space="0" w:color="auto"/>
                <w:bottom w:val="none" w:sz="0" w:space="0" w:color="auto"/>
                <w:right w:val="none" w:sz="0" w:space="0" w:color="auto"/>
              </w:divBdr>
            </w:div>
            <w:div w:id="822887857">
              <w:marLeft w:val="0"/>
              <w:marRight w:val="0"/>
              <w:marTop w:val="0"/>
              <w:marBottom w:val="0"/>
              <w:divBdr>
                <w:top w:val="none" w:sz="0" w:space="0" w:color="auto"/>
                <w:left w:val="none" w:sz="0" w:space="0" w:color="auto"/>
                <w:bottom w:val="none" w:sz="0" w:space="0" w:color="auto"/>
                <w:right w:val="none" w:sz="0" w:space="0" w:color="auto"/>
              </w:divBdr>
            </w:div>
            <w:div w:id="951476333">
              <w:marLeft w:val="0"/>
              <w:marRight w:val="0"/>
              <w:marTop w:val="0"/>
              <w:marBottom w:val="0"/>
              <w:divBdr>
                <w:top w:val="none" w:sz="0" w:space="0" w:color="auto"/>
                <w:left w:val="none" w:sz="0" w:space="0" w:color="auto"/>
                <w:bottom w:val="none" w:sz="0" w:space="0" w:color="auto"/>
                <w:right w:val="none" w:sz="0" w:space="0" w:color="auto"/>
              </w:divBdr>
            </w:div>
            <w:div w:id="1695422120">
              <w:marLeft w:val="0"/>
              <w:marRight w:val="0"/>
              <w:marTop w:val="0"/>
              <w:marBottom w:val="0"/>
              <w:divBdr>
                <w:top w:val="none" w:sz="0" w:space="0" w:color="auto"/>
                <w:left w:val="none" w:sz="0" w:space="0" w:color="auto"/>
                <w:bottom w:val="none" w:sz="0" w:space="0" w:color="auto"/>
                <w:right w:val="none" w:sz="0" w:space="0" w:color="auto"/>
              </w:divBdr>
            </w:div>
            <w:div w:id="100609920">
              <w:marLeft w:val="0"/>
              <w:marRight w:val="0"/>
              <w:marTop w:val="0"/>
              <w:marBottom w:val="0"/>
              <w:divBdr>
                <w:top w:val="none" w:sz="0" w:space="0" w:color="auto"/>
                <w:left w:val="none" w:sz="0" w:space="0" w:color="auto"/>
                <w:bottom w:val="none" w:sz="0" w:space="0" w:color="auto"/>
                <w:right w:val="none" w:sz="0" w:space="0" w:color="auto"/>
              </w:divBdr>
            </w:div>
            <w:div w:id="472253820">
              <w:marLeft w:val="0"/>
              <w:marRight w:val="0"/>
              <w:marTop w:val="0"/>
              <w:marBottom w:val="0"/>
              <w:divBdr>
                <w:top w:val="none" w:sz="0" w:space="0" w:color="auto"/>
                <w:left w:val="none" w:sz="0" w:space="0" w:color="auto"/>
                <w:bottom w:val="none" w:sz="0" w:space="0" w:color="auto"/>
                <w:right w:val="none" w:sz="0" w:space="0" w:color="auto"/>
              </w:divBdr>
            </w:div>
          </w:divsChild>
        </w:div>
        <w:div w:id="2034263052">
          <w:marLeft w:val="0"/>
          <w:marRight w:val="0"/>
          <w:marTop w:val="0"/>
          <w:marBottom w:val="0"/>
          <w:divBdr>
            <w:top w:val="none" w:sz="0" w:space="0" w:color="auto"/>
            <w:left w:val="none" w:sz="0" w:space="0" w:color="auto"/>
            <w:bottom w:val="none" w:sz="0" w:space="0" w:color="auto"/>
            <w:right w:val="none" w:sz="0" w:space="0" w:color="auto"/>
          </w:divBdr>
          <w:divsChild>
            <w:div w:id="1820728253">
              <w:marLeft w:val="0"/>
              <w:marRight w:val="0"/>
              <w:marTop w:val="0"/>
              <w:marBottom w:val="0"/>
              <w:divBdr>
                <w:top w:val="none" w:sz="0" w:space="0" w:color="auto"/>
                <w:left w:val="none" w:sz="0" w:space="0" w:color="auto"/>
                <w:bottom w:val="none" w:sz="0" w:space="0" w:color="auto"/>
                <w:right w:val="none" w:sz="0" w:space="0" w:color="auto"/>
              </w:divBdr>
            </w:div>
            <w:div w:id="1572887395">
              <w:marLeft w:val="0"/>
              <w:marRight w:val="0"/>
              <w:marTop w:val="0"/>
              <w:marBottom w:val="0"/>
              <w:divBdr>
                <w:top w:val="none" w:sz="0" w:space="0" w:color="auto"/>
                <w:left w:val="none" w:sz="0" w:space="0" w:color="auto"/>
                <w:bottom w:val="none" w:sz="0" w:space="0" w:color="auto"/>
                <w:right w:val="none" w:sz="0" w:space="0" w:color="auto"/>
              </w:divBdr>
            </w:div>
            <w:div w:id="2087796794">
              <w:marLeft w:val="0"/>
              <w:marRight w:val="0"/>
              <w:marTop w:val="0"/>
              <w:marBottom w:val="0"/>
              <w:divBdr>
                <w:top w:val="none" w:sz="0" w:space="0" w:color="auto"/>
                <w:left w:val="none" w:sz="0" w:space="0" w:color="auto"/>
                <w:bottom w:val="none" w:sz="0" w:space="0" w:color="auto"/>
                <w:right w:val="none" w:sz="0" w:space="0" w:color="auto"/>
              </w:divBdr>
            </w:div>
            <w:div w:id="713235354">
              <w:marLeft w:val="0"/>
              <w:marRight w:val="0"/>
              <w:marTop w:val="0"/>
              <w:marBottom w:val="0"/>
              <w:divBdr>
                <w:top w:val="none" w:sz="0" w:space="0" w:color="auto"/>
                <w:left w:val="none" w:sz="0" w:space="0" w:color="auto"/>
                <w:bottom w:val="none" w:sz="0" w:space="0" w:color="auto"/>
                <w:right w:val="none" w:sz="0" w:space="0" w:color="auto"/>
              </w:divBdr>
            </w:div>
            <w:div w:id="1019700893">
              <w:marLeft w:val="0"/>
              <w:marRight w:val="0"/>
              <w:marTop w:val="0"/>
              <w:marBottom w:val="0"/>
              <w:divBdr>
                <w:top w:val="none" w:sz="0" w:space="0" w:color="auto"/>
                <w:left w:val="none" w:sz="0" w:space="0" w:color="auto"/>
                <w:bottom w:val="none" w:sz="0" w:space="0" w:color="auto"/>
                <w:right w:val="none" w:sz="0" w:space="0" w:color="auto"/>
              </w:divBdr>
            </w:div>
            <w:div w:id="168374864">
              <w:marLeft w:val="0"/>
              <w:marRight w:val="0"/>
              <w:marTop w:val="0"/>
              <w:marBottom w:val="0"/>
              <w:divBdr>
                <w:top w:val="none" w:sz="0" w:space="0" w:color="auto"/>
                <w:left w:val="none" w:sz="0" w:space="0" w:color="auto"/>
                <w:bottom w:val="none" w:sz="0" w:space="0" w:color="auto"/>
                <w:right w:val="none" w:sz="0" w:space="0" w:color="auto"/>
              </w:divBdr>
            </w:div>
            <w:div w:id="1915164489">
              <w:marLeft w:val="0"/>
              <w:marRight w:val="0"/>
              <w:marTop w:val="0"/>
              <w:marBottom w:val="0"/>
              <w:divBdr>
                <w:top w:val="none" w:sz="0" w:space="0" w:color="auto"/>
                <w:left w:val="none" w:sz="0" w:space="0" w:color="auto"/>
                <w:bottom w:val="none" w:sz="0" w:space="0" w:color="auto"/>
                <w:right w:val="none" w:sz="0" w:space="0" w:color="auto"/>
              </w:divBdr>
            </w:div>
            <w:div w:id="1778257954">
              <w:marLeft w:val="0"/>
              <w:marRight w:val="0"/>
              <w:marTop w:val="0"/>
              <w:marBottom w:val="0"/>
              <w:divBdr>
                <w:top w:val="none" w:sz="0" w:space="0" w:color="auto"/>
                <w:left w:val="none" w:sz="0" w:space="0" w:color="auto"/>
                <w:bottom w:val="none" w:sz="0" w:space="0" w:color="auto"/>
                <w:right w:val="none" w:sz="0" w:space="0" w:color="auto"/>
              </w:divBdr>
            </w:div>
            <w:div w:id="1742289153">
              <w:marLeft w:val="0"/>
              <w:marRight w:val="0"/>
              <w:marTop w:val="0"/>
              <w:marBottom w:val="0"/>
              <w:divBdr>
                <w:top w:val="none" w:sz="0" w:space="0" w:color="auto"/>
                <w:left w:val="none" w:sz="0" w:space="0" w:color="auto"/>
                <w:bottom w:val="none" w:sz="0" w:space="0" w:color="auto"/>
                <w:right w:val="none" w:sz="0" w:space="0" w:color="auto"/>
              </w:divBdr>
            </w:div>
            <w:div w:id="925915237">
              <w:marLeft w:val="0"/>
              <w:marRight w:val="0"/>
              <w:marTop w:val="0"/>
              <w:marBottom w:val="0"/>
              <w:divBdr>
                <w:top w:val="none" w:sz="0" w:space="0" w:color="auto"/>
                <w:left w:val="none" w:sz="0" w:space="0" w:color="auto"/>
                <w:bottom w:val="none" w:sz="0" w:space="0" w:color="auto"/>
                <w:right w:val="none" w:sz="0" w:space="0" w:color="auto"/>
              </w:divBdr>
            </w:div>
            <w:div w:id="1408728322">
              <w:marLeft w:val="0"/>
              <w:marRight w:val="0"/>
              <w:marTop w:val="0"/>
              <w:marBottom w:val="0"/>
              <w:divBdr>
                <w:top w:val="none" w:sz="0" w:space="0" w:color="auto"/>
                <w:left w:val="none" w:sz="0" w:space="0" w:color="auto"/>
                <w:bottom w:val="none" w:sz="0" w:space="0" w:color="auto"/>
                <w:right w:val="none" w:sz="0" w:space="0" w:color="auto"/>
              </w:divBdr>
            </w:div>
            <w:div w:id="19660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4357629">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180396">
      <w:bodyDiv w:val="1"/>
      <w:marLeft w:val="0"/>
      <w:marRight w:val="0"/>
      <w:marTop w:val="0"/>
      <w:marBottom w:val="0"/>
      <w:divBdr>
        <w:top w:val="none" w:sz="0" w:space="0" w:color="auto"/>
        <w:left w:val="none" w:sz="0" w:space="0" w:color="auto"/>
        <w:bottom w:val="none" w:sz="0" w:space="0" w:color="auto"/>
        <w:right w:val="none" w:sz="0" w:space="0" w:color="auto"/>
      </w:divBdr>
      <w:divsChild>
        <w:div w:id="861627969">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mathematics/planning-programming-and-assessing-mathematics-7-10/mathematics-7-10-units" TargetMode="External"/><Relationship Id="rId13" Type="http://schemas.openxmlformats.org/officeDocument/2006/relationships/hyperlink" Target="https://oakland.edu/Assets/Oakland/cetl/files-and-documents/TeachingTips/HandsDown.pdf"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pp.education.nsw.gov.au/digital-learning-selector/LearningActivity/Card/555" TargetMode="External"/><Relationship Id="rId17" Type="http://schemas.openxmlformats.org/officeDocument/2006/relationships/hyperlink" Target="https://curriculum.nsw.edu.au/learning-areas/mathematics/mathematics-k-10-2022/overview"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urriculum.nsw.edu.a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ducationstandards.nsw.edu.au" TargetMode="External"/><Relationship Id="rId23" Type="http://schemas.openxmlformats.org/officeDocument/2006/relationships/image" Target="media/image2.png"/><Relationship Id="rId28" Type="http://schemas.openxmlformats.org/officeDocument/2006/relationships/footer" Target="footer5.xml"/><Relationship Id="rId10" Type="http://schemas.openxmlformats.org/officeDocument/2006/relationships/hyperlink" Target="https://saskmath.ca/vertical-non-permanent-surfaces-and-mini-white-boar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werfullearning.com/visible-random-groups-why-this-is-the-next-thing-you-need-to-do-for-group-work-in-your-classroom/" TargetMode="External"/><Relationship Id="rId14" Type="http://schemas.openxmlformats.org/officeDocument/2006/relationships/hyperlink" Target="https://educationstandards.nsw.edu.au/wps/portal/nesa/mini-footer/copyright" TargetMode="Externa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2D346-B1B1-4A32-95D5-2B269BA6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1132</Words>
  <Characters>6413</Characters>
  <Application>Microsoft Office Word</Application>
  <DocSecurity>0</DocSecurity>
  <Lines>91</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in focus – Mathematics Stage 4 – Effective in-class questioning</dc:title>
  <dc:subject/>
  <dc:creator>NSW Department of Education</dc:creator>
  <cp:keywords/>
  <dc:description/>
  <dcterms:created xsi:type="dcterms:W3CDTF">2024-11-19T21:01:00Z</dcterms:created>
  <dcterms:modified xsi:type="dcterms:W3CDTF">2024-11-19T21:01:00Z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2024-11-19T21:01:38Z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83b077f6-5a67-4794-9369-9478501aad99</vt:lpwstr>
  </property>
  <property fmtid="{D5CDD505-2E9C-101B-9397-08002B2CF9AE}" pid="8" name="MSIP_Label_b603dfd7-d93a-4381-a340-2995d8282205_ContentBits">
    <vt:lpwstr>0</vt:lpwstr>
  </property>
</Properties>
</file>