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51EE3449" w:rsidR="004125FD" w:rsidRPr="0004406B" w:rsidRDefault="00927A51" w:rsidP="0004406B">
      <w:pPr>
        <w:pStyle w:val="Heading1"/>
      </w:pPr>
      <w:r>
        <w:t>T</w:t>
      </w:r>
      <w:r w:rsidR="00984FB7">
        <w:t>he sine and cosine</w:t>
      </w:r>
      <w:r>
        <w:t xml:space="preserve"> ratios</w:t>
      </w:r>
    </w:p>
    <w:p w14:paraId="3932FAB1" w14:textId="257C721D" w:rsidR="008626E8" w:rsidRDefault="008626E8" w:rsidP="008626E8">
      <w:r>
        <w:t>In this activity, s</w:t>
      </w:r>
      <w:r w:rsidRPr="005A177A">
        <w:t xml:space="preserve">tudents investigate the </w:t>
      </w:r>
      <w:r>
        <w:t>sine and cosine</w:t>
      </w:r>
      <w:r w:rsidRPr="005A177A">
        <w:t xml:space="preserve"> </w:t>
      </w:r>
      <w:r>
        <w:t>functions</w:t>
      </w:r>
      <w:r w:rsidRPr="005A177A">
        <w:t xml:space="preserve"> on their calculator and compare them with right-angled triangles they construct by hand or using digital tools, to establish the </w:t>
      </w:r>
      <w:r>
        <w:t>sine and cosine</w:t>
      </w:r>
      <w:r w:rsidRPr="005A177A">
        <w:t xml:space="preserve"> ratio</w:t>
      </w:r>
      <w:r>
        <w:t>s</w:t>
      </w:r>
      <w:r w:rsidRPr="005A177A">
        <w:t>.</w:t>
      </w:r>
    </w:p>
    <w:p w14:paraId="1260F1C9" w14:textId="585CED06" w:rsidR="002A67F7" w:rsidRPr="00F8220E" w:rsidRDefault="002A67F7" w:rsidP="00FA2E89">
      <w:r>
        <w:t xml:space="preserve">This activity is designed to be the first introduction to </w:t>
      </w:r>
      <w:r w:rsidR="004F2865">
        <w:t>the sine and cosine</w:t>
      </w:r>
      <w:r>
        <w:t xml:space="preserve"> ratios for students</w:t>
      </w:r>
      <w:r w:rsidR="00E03FCA">
        <w:t xml:space="preserve">. The design of the activity </w:t>
      </w:r>
      <w:r w:rsidR="00F10BAB">
        <w:t>presumes students are familiar with labelling the sides of a right</w:t>
      </w:r>
      <w:r w:rsidR="00192034">
        <w:t>-</w:t>
      </w:r>
      <w:r w:rsidR="00F10BAB">
        <w:t>angled triangle</w:t>
      </w:r>
      <w:r w:rsidR="00E03FCA">
        <w:t xml:space="preserve"> and the tangent ratio</w:t>
      </w:r>
      <w:r w:rsidR="00F10BAB">
        <w:t>.</w:t>
      </w:r>
    </w:p>
    <w:p w14:paraId="5BF7F918" w14:textId="117A1B56" w:rsidR="00A51D10" w:rsidRPr="0045418E" w:rsidRDefault="004125FD" w:rsidP="0045418E">
      <w:pPr>
        <w:pStyle w:val="Heading2"/>
      </w:pPr>
      <w:r w:rsidRPr="0045418E">
        <w:t>Visible learning</w:t>
      </w:r>
    </w:p>
    <w:p w14:paraId="531BF1E6" w14:textId="77777777" w:rsidR="00A51D10" w:rsidRPr="00CE6CDC" w:rsidRDefault="00A51D10" w:rsidP="00A51D10">
      <w:pPr>
        <w:pStyle w:val="Heading3"/>
        <w:numPr>
          <w:ilvl w:val="2"/>
          <w:numId w:val="2"/>
        </w:numPr>
        <w:ind w:left="0"/>
      </w:pPr>
      <w:r>
        <w:t>Learning intentions</w:t>
      </w:r>
    </w:p>
    <w:p w14:paraId="721BD8C5" w14:textId="494A9B1D" w:rsidR="00A51D10" w:rsidRPr="009F701F" w:rsidRDefault="00CA0AF1" w:rsidP="009F701F">
      <w:pPr>
        <w:pStyle w:val="ListBullet"/>
      </w:pPr>
      <w:r w:rsidRPr="009F701F">
        <w:t>To</w:t>
      </w:r>
      <w:r w:rsidR="00927A51" w:rsidRPr="009F701F">
        <w:t xml:space="preserve"> be able to use language associated with trigonometry to describe right-angled triangles</w:t>
      </w:r>
      <w:r w:rsidR="00D5234B" w:rsidRPr="009F701F">
        <w:t>.</w:t>
      </w:r>
    </w:p>
    <w:p w14:paraId="704AE27D" w14:textId="4E2D77C8" w:rsidR="00927A51" w:rsidRPr="009F701F" w:rsidRDefault="00927A51" w:rsidP="009F701F">
      <w:pPr>
        <w:pStyle w:val="ListBullet"/>
      </w:pPr>
      <w:r w:rsidRPr="009F701F">
        <w:t>To know</w:t>
      </w:r>
      <w:r w:rsidR="00C36B10" w:rsidRPr="009F701F">
        <w:t xml:space="preserve"> and be able to define</w:t>
      </w:r>
      <w:r w:rsidRPr="009F701F">
        <w:t xml:space="preserve"> the trigonometric ratios</w:t>
      </w:r>
      <w:r w:rsidR="00C36B10" w:rsidRPr="009F701F">
        <w:t xml:space="preserve"> of sine, </w:t>
      </w:r>
      <w:proofErr w:type="gramStart"/>
      <w:r w:rsidR="00C36B10" w:rsidRPr="009F701F">
        <w:t>cosine</w:t>
      </w:r>
      <w:proofErr w:type="gramEnd"/>
      <w:r w:rsidR="00C36B10" w:rsidRPr="009F701F">
        <w:t xml:space="preserve"> and tangent</w:t>
      </w:r>
      <w:r w:rsidR="00D5234B" w:rsidRPr="009F701F">
        <w:t>.</w:t>
      </w:r>
    </w:p>
    <w:p w14:paraId="31580410" w14:textId="77777777" w:rsidR="00A51D10" w:rsidRDefault="00A51D10" w:rsidP="00A51D10">
      <w:pPr>
        <w:pStyle w:val="Heading3"/>
        <w:numPr>
          <w:ilvl w:val="2"/>
          <w:numId w:val="2"/>
        </w:numPr>
        <w:ind w:left="0"/>
      </w:pPr>
      <w:r>
        <w:t>Success criteria</w:t>
      </w:r>
    </w:p>
    <w:p w14:paraId="685DDC3C" w14:textId="4159221A" w:rsidR="00A51D10" w:rsidRPr="009F701F" w:rsidRDefault="00927A51" w:rsidP="009F701F">
      <w:pPr>
        <w:pStyle w:val="ListBullet"/>
      </w:pPr>
      <w:r w:rsidRPr="009F701F">
        <w:t>I can identify the hypotenuse, opposite and adjacent sides with respect to a</w:t>
      </w:r>
      <w:r w:rsidR="007611D1" w:rsidRPr="009F701F">
        <w:t>n</w:t>
      </w:r>
      <w:r w:rsidRPr="009F701F">
        <w:t xml:space="preserve"> angle in a right-angled triangle</w:t>
      </w:r>
      <w:r w:rsidR="00D5234B" w:rsidRPr="009F701F">
        <w:t>.</w:t>
      </w:r>
    </w:p>
    <w:p w14:paraId="4125AFB9" w14:textId="137E0F3F" w:rsidR="00927A51" w:rsidRPr="009F701F" w:rsidRDefault="00927A51" w:rsidP="009F701F">
      <w:pPr>
        <w:pStyle w:val="ListBullet"/>
      </w:pPr>
      <w:r w:rsidRPr="009F701F">
        <w:t xml:space="preserve">I can explain the relationship between the value of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oMath>
      <w:r w:rsidRPr="009F701F">
        <w:t xml:space="preserve"> found in my calculator and a right-angled triangle with a </w:t>
      </w:r>
      <m:oMath>
        <m:sSup>
          <m:sSupPr>
            <m:ctrlPr>
              <w:rPr>
                <w:rFonts w:ascii="Cambria Math" w:hAnsi="Cambria Math"/>
                <w:lang w:eastAsia="zh-CN"/>
              </w:rPr>
            </m:ctrlPr>
          </m:sSupPr>
          <m:e>
            <m:r>
              <w:rPr>
                <w:rFonts w:ascii="Cambria Math" w:hAnsi="Cambria Math"/>
              </w:rPr>
              <m:t>30</m:t>
            </m:r>
          </m:e>
          <m:sup>
            <m:r>
              <w:rPr>
                <w:rFonts w:ascii="Cambria Math" w:hAnsi="Cambria Math"/>
              </w:rPr>
              <m:t>o</m:t>
            </m:r>
          </m:sup>
        </m:sSup>
      </m:oMath>
      <w:r w:rsidRPr="009F701F">
        <w:t xml:space="preserve"> angle</w:t>
      </w:r>
      <w:r w:rsidR="00D5234B" w:rsidRPr="009F701F">
        <w:t>.</w:t>
      </w:r>
    </w:p>
    <w:p w14:paraId="39BA6505" w14:textId="661BA885" w:rsidR="00927A51" w:rsidRPr="009F701F" w:rsidRDefault="00927A51" w:rsidP="009F701F">
      <w:pPr>
        <w:pStyle w:val="ListBullet"/>
      </w:pPr>
      <w:r w:rsidRPr="009F701F">
        <w:t xml:space="preserve">I can write </w:t>
      </w:r>
      <w:r w:rsidR="00C36B10" w:rsidRPr="009F701F">
        <w:t>three</w:t>
      </w:r>
      <w:r w:rsidRPr="009F701F">
        <w:t xml:space="preserve"> trigonometric ratios for a given</w:t>
      </w:r>
      <w:r w:rsidR="00C36B10" w:rsidRPr="009F701F">
        <w:t xml:space="preserve"> angle in a</w:t>
      </w:r>
      <w:r w:rsidRPr="009F701F">
        <w:t xml:space="preserve"> right-angled triangle</w:t>
      </w:r>
      <w:r w:rsidR="00D5234B" w:rsidRPr="009F701F">
        <w:t>.</w:t>
      </w:r>
    </w:p>
    <w:p w14:paraId="7FFBED01" w14:textId="77777777" w:rsidR="007836E4" w:rsidRPr="007836E4" w:rsidRDefault="007836E4" w:rsidP="007836E4">
      <w:r w:rsidRPr="007836E4">
        <w:br w:type="page"/>
      </w:r>
    </w:p>
    <w:p w14:paraId="1377BABB" w14:textId="63CB0E99" w:rsidR="00A51D10" w:rsidRDefault="00A51D10" w:rsidP="00CA0AF1">
      <w:pPr>
        <w:pStyle w:val="Heading3"/>
        <w:numPr>
          <w:ilvl w:val="2"/>
          <w:numId w:val="2"/>
        </w:numPr>
        <w:ind w:left="0"/>
      </w:pPr>
      <w:r>
        <w:lastRenderedPageBreak/>
        <w:t>Syllabus outcomes</w:t>
      </w:r>
    </w:p>
    <w:p w14:paraId="531C1C42" w14:textId="0778B0AF" w:rsidR="009F701F" w:rsidRPr="009F701F" w:rsidRDefault="009F701F" w:rsidP="009F701F">
      <w:r>
        <w:t>A student:</w:t>
      </w:r>
    </w:p>
    <w:p w14:paraId="2E3D2338" w14:textId="25CEC011" w:rsidR="00CA0AF1" w:rsidRPr="009F701F" w:rsidRDefault="00CA0AF1" w:rsidP="009F701F">
      <w:pPr>
        <w:pStyle w:val="ListBullet"/>
      </w:pPr>
      <w:r w:rsidRPr="009F701F">
        <w:t xml:space="preserve">develops understanding and fluency in mathematics through exploring and connecting mathematical concepts, </w:t>
      </w:r>
      <w:proofErr w:type="gramStart"/>
      <w:r w:rsidRPr="009F701F">
        <w:t>choosing</w:t>
      </w:r>
      <w:proofErr w:type="gramEnd"/>
      <w:r w:rsidRPr="009F701F">
        <w:t xml:space="preserve"> and applying mathematical techniques to solve problems, and communicating their thinking and reasoning coherently and clearly</w:t>
      </w:r>
      <w:r w:rsidR="00DB545E" w:rsidRPr="009F701F">
        <w:t xml:space="preserve"> </w:t>
      </w:r>
      <w:r w:rsidR="00DB545E" w:rsidRPr="009F701F">
        <w:rPr>
          <w:b/>
          <w:bCs/>
        </w:rPr>
        <w:t>MAO-WM-01</w:t>
      </w:r>
    </w:p>
    <w:p w14:paraId="1272BE9C" w14:textId="2B75A85F" w:rsidR="009A352A" w:rsidRPr="009F701F" w:rsidRDefault="00CA0AF1" w:rsidP="009F701F">
      <w:pPr>
        <w:pStyle w:val="ListBullet"/>
      </w:pPr>
      <w:r w:rsidRPr="009F701F">
        <w:t>applies trigonometric ratios to solve right-angled triangle problems</w:t>
      </w:r>
      <w:r w:rsidR="00DB545E" w:rsidRPr="009F701F">
        <w:t xml:space="preserve"> </w:t>
      </w:r>
      <w:r w:rsidR="00DB545E" w:rsidRPr="009F701F">
        <w:rPr>
          <w:b/>
          <w:bCs/>
        </w:rPr>
        <w:t>MA5-TRG-C-01</w:t>
      </w:r>
    </w:p>
    <w:p w14:paraId="5BC91894" w14:textId="06F42B0F" w:rsidR="009F701F" w:rsidRPr="00113879" w:rsidRDefault="00000000" w:rsidP="00113879">
      <w:pPr>
        <w:rPr>
          <w:sz w:val="20"/>
          <w:szCs w:val="20"/>
        </w:rPr>
      </w:pPr>
      <w:hyperlink r:id="rId7" w:tgtFrame="_blank" w:tooltip="https://curriculum.nsw.edu.au/learning-areas/mathematics/mathematics-k-10-2022" w:history="1">
        <w:r w:rsidR="00113879" w:rsidRPr="00113879">
          <w:rPr>
            <w:rStyle w:val="Hyperlink"/>
            <w:sz w:val="20"/>
            <w:szCs w:val="20"/>
          </w:rPr>
          <w:t>Mathematics K–10 Syllabus</w:t>
        </w:r>
      </w:hyperlink>
      <w:r w:rsidR="00113879" w:rsidRPr="00113879">
        <w:rPr>
          <w:sz w:val="20"/>
          <w:szCs w:val="20"/>
        </w:rPr>
        <w:t xml:space="preserve"> © NSW Education Standards Authority (NESA) for and on behalf of the Crown in right of the State of New South Wales, 2022.</w:t>
      </w:r>
    </w:p>
    <w:p w14:paraId="111BACE6" w14:textId="7511A45D" w:rsidR="00CA0AF1" w:rsidRPr="009F701F" w:rsidRDefault="009A352A" w:rsidP="00D5234B">
      <w:pPr>
        <w:pStyle w:val="FeatureBox2"/>
      </w:pPr>
      <w:r w:rsidRPr="00D5234B">
        <w:t xml:space="preserve">Please use the associated PowerPoint </w:t>
      </w:r>
      <w:r w:rsidR="00240AD0" w:rsidRPr="009F701F">
        <w:rPr>
          <w:i/>
          <w:iCs/>
        </w:rPr>
        <w:t>The sine and cosine</w:t>
      </w:r>
      <w:r w:rsidR="00D5234B" w:rsidRPr="009F701F">
        <w:rPr>
          <w:i/>
          <w:iCs/>
        </w:rPr>
        <w:t xml:space="preserve"> ratios</w:t>
      </w:r>
      <w:r w:rsidR="00D5234B" w:rsidRPr="00D5234B">
        <w:t xml:space="preserve"> </w:t>
      </w:r>
      <w:r w:rsidRPr="00D5234B">
        <w:t>to display images in this lesson</w:t>
      </w:r>
      <w:r w:rsidR="00D5234B" w:rsidRPr="00D5234B">
        <w:t>.</w:t>
      </w:r>
      <w:r w:rsidR="00CA0AF1" w:rsidRPr="00D5234B">
        <w:br w:type="page"/>
      </w:r>
    </w:p>
    <w:p w14:paraId="73435BE4" w14:textId="64F11E13" w:rsidR="00A51D10" w:rsidRPr="00EC59D8" w:rsidRDefault="00A51D10" w:rsidP="00EC59D8">
      <w:pPr>
        <w:pStyle w:val="Heading2"/>
      </w:pPr>
      <w:r>
        <w:lastRenderedPageBreak/>
        <w:t>Activity structure</w:t>
      </w:r>
    </w:p>
    <w:p w14:paraId="65965512" w14:textId="37ECBF58" w:rsidR="00A51D10" w:rsidRPr="00EC59D8" w:rsidRDefault="00A51D10" w:rsidP="00EC59D8">
      <w:pPr>
        <w:pStyle w:val="Heading3"/>
      </w:pPr>
      <w:r>
        <w:t>Launch</w:t>
      </w:r>
    </w:p>
    <w:p w14:paraId="5747C1DB" w14:textId="172DBB0C" w:rsidR="004E31AC" w:rsidRPr="004E31AC" w:rsidRDefault="001279FD" w:rsidP="004E31AC">
      <w:pPr>
        <w:pStyle w:val="FeatureBox"/>
      </w:pPr>
      <w:r>
        <w:t>Determine if students would benefit from reviewing labelling the sides of triangles, and use either the associated PowerPoint file, or th</w:t>
      </w:r>
      <w:r w:rsidR="00CB6336">
        <w:t xml:space="preserve">e Desmos activity, </w:t>
      </w:r>
      <w:hyperlink r:id="rId8" w:history="1">
        <w:r w:rsidR="00CB6336" w:rsidRPr="00C670FE">
          <w:rPr>
            <w:rStyle w:val="Hyperlink"/>
          </w:rPr>
          <w:t>Sides of triangles</w:t>
        </w:r>
      </w:hyperlink>
      <w:r w:rsidR="00CB6336">
        <w:t xml:space="preserve"> (</w:t>
      </w:r>
      <w:hyperlink r:id="rId9" w:history="1">
        <w:r w:rsidR="00CB6336" w:rsidRPr="00F06B42">
          <w:rPr>
            <w:rStyle w:val="Hyperlink"/>
          </w:rPr>
          <w:t>bit.ly/desmossidesoftriangles</w:t>
        </w:r>
      </w:hyperlink>
      <w:r w:rsidR="00CB6336">
        <w:t>).</w:t>
      </w:r>
    </w:p>
    <w:p w14:paraId="4543CA5E" w14:textId="01AD0EE1" w:rsidR="00F84C17" w:rsidRPr="008317F5" w:rsidRDefault="006F1354" w:rsidP="008317F5">
      <w:pPr>
        <w:pStyle w:val="ListNumber"/>
      </w:pPr>
      <w:r w:rsidRPr="008317F5">
        <w:t xml:space="preserve">Hand out </w:t>
      </w:r>
      <w:hyperlink w:anchor="_Appendix_A" w:history="1">
        <w:r w:rsidRPr="00B4295B">
          <w:rPr>
            <w:rStyle w:val="Hyperlink"/>
          </w:rPr>
          <w:t>Appendix A</w:t>
        </w:r>
      </w:hyperlink>
      <w:r w:rsidRPr="008317F5">
        <w:t xml:space="preserve">. </w:t>
      </w:r>
      <w:r w:rsidR="00F44BAE" w:rsidRPr="008317F5">
        <w:t>Give s</w:t>
      </w:r>
      <w:r w:rsidR="00A8448C" w:rsidRPr="008317F5">
        <w:t xml:space="preserve">tudents access to the Desmos graph, </w:t>
      </w:r>
      <w:hyperlink r:id="rId10" w:history="1">
        <w:r w:rsidR="009A6C19" w:rsidRPr="00D046B4">
          <w:rPr>
            <w:rStyle w:val="Hyperlink"/>
          </w:rPr>
          <w:t>The ratios of sides</w:t>
        </w:r>
      </w:hyperlink>
      <w:r w:rsidR="00F84C17" w:rsidRPr="008317F5">
        <w:t xml:space="preserve"> (</w:t>
      </w:r>
      <w:hyperlink r:id="rId11" w:history="1">
        <w:r w:rsidR="003061DE" w:rsidRPr="008317F5">
          <w:rPr>
            <w:rStyle w:val="Hyperlink"/>
          </w:rPr>
          <w:t>bit.ly/Desmos-ratiosofsides</w:t>
        </w:r>
      </w:hyperlink>
      <w:r w:rsidR="00F84C17" w:rsidRPr="008317F5">
        <w:t>).</w:t>
      </w:r>
    </w:p>
    <w:p w14:paraId="66A4FE69" w14:textId="1B6D923B" w:rsidR="00360783" w:rsidRDefault="00F84C17" w:rsidP="008317F5">
      <w:pPr>
        <w:pStyle w:val="ListNumber"/>
        <w:rPr>
          <w:lang w:eastAsia="zh-CN"/>
        </w:rPr>
      </w:pPr>
      <w:r w:rsidRPr="008317F5">
        <w:t xml:space="preserve">Instruct students to </w:t>
      </w:r>
      <w:r w:rsidR="00430CE6" w:rsidRPr="008317F5">
        <w:t xml:space="preserve">turn on </w:t>
      </w:r>
      <w:r w:rsidR="00A47FC0" w:rsidRPr="008317F5">
        <w:t xml:space="preserve">the opposite and adjacent </w:t>
      </w:r>
      <w:r w:rsidR="00430CE6" w:rsidRPr="008317F5">
        <w:t>sides using the switches in the graph.</w:t>
      </w:r>
    </w:p>
    <w:p w14:paraId="558FAC83" w14:textId="28EBC3D4" w:rsidR="00C61062" w:rsidRPr="00C61062" w:rsidRDefault="00C61062" w:rsidP="007836E4">
      <w:pPr>
        <w:pStyle w:val="Caption"/>
      </w:pPr>
      <w:r>
        <w:t xml:space="preserve">Figure </w:t>
      </w:r>
      <w:r>
        <w:fldChar w:fldCharType="begin"/>
      </w:r>
      <w:r>
        <w:instrText xml:space="preserve"> SEQ Figure \* ARABIC </w:instrText>
      </w:r>
      <w:r>
        <w:fldChar w:fldCharType="separate"/>
      </w:r>
      <w:r w:rsidR="00F75B46">
        <w:rPr>
          <w:noProof/>
        </w:rPr>
        <w:t>1</w:t>
      </w:r>
      <w:r>
        <w:fldChar w:fldCharType="end"/>
      </w:r>
      <w:r>
        <w:t xml:space="preserve"> – Desmos graph switches</w:t>
      </w:r>
    </w:p>
    <w:p w14:paraId="7771F80B" w14:textId="1469119D" w:rsidR="00F673F1" w:rsidRDefault="00311C08" w:rsidP="008317F5">
      <w:pPr>
        <w:pStyle w:val="ListNumber"/>
        <w:numPr>
          <w:ilvl w:val="0"/>
          <w:numId w:val="0"/>
        </w:numPr>
        <w:ind w:left="567"/>
        <w:rPr>
          <w:lang w:eastAsia="zh-CN"/>
        </w:rPr>
      </w:pPr>
      <w:r w:rsidRPr="00360783">
        <w:rPr>
          <w:noProof/>
        </w:rPr>
        <w:drawing>
          <wp:inline distT="0" distB="0" distL="0" distR="0" wp14:anchorId="118EC36A" wp14:editId="12352CB0">
            <wp:extent cx="5687798" cy="886691"/>
            <wp:effectExtent l="0" t="0" r="0" b="8890"/>
            <wp:docPr id="5" name="Picture 5" descr="An image of a Desmos graph where there are 3 sliders on the screen. Each slider has a label as either opposite, adjacent, or hypotenuse. The opposite and adjacent sides are switched to the right, meaning on, while the hypotenuse is switched to the left, meaning o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mage of a Desmos graph where there are 3 sliders on the screen. Each slider has a label as either opposite, adjacent, or hypotenuse. The opposite and adjacent sides are switched to the right, meaning on, while the hypotenuse is switched to the left, meaning off. "/>
                    <pic:cNvPicPr/>
                  </pic:nvPicPr>
                  <pic:blipFill>
                    <a:blip r:embed="rId12"/>
                    <a:stretch>
                      <a:fillRect/>
                    </a:stretch>
                  </pic:blipFill>
                  <pic:spPr>
                    <a:xfrm>
                      <a:off x="0" y="0"/>
                      <a:ext cx="5695806" cy="887939"/>
                    </a:xfrm>
                    <a:prstGeom prst="rect">
                      <a:avLst/>
                    </a:prstGeom>
                  </pic:spPr>
                </pic:pic>
              </a:graphicData>
            </a:graphic>
          </wp:inline>
        </w:drawing>
      </w:r>
    </w:p>
    <w:p w14:paraId="1DD56D48" w14:textId="59478181" w:rsidR="00DF3104" w:rsidRPr="00DF3104" w:rsidRDefault="00033C71" w:rsidP="008317F5">
      <w:pPr>
        <w:pStyle w:val="ListNumber"/>
        <w:numPr>
          <w:ilvl w:val="0"/>
          <w:numId w:val="0"/>
        </w:numPr>
        <w:ind w:left="567"/>
        <w:rPr>
          <w:sz w:val="20"/>
          <w:szCs w:val="20"/>
          <w:lang w:eastAsia="zh-CN"/>
        </w:rPr>
      </w:pPr>
      <w:r w:rsidRPr="00AE59D0">
        <w:rPr>
          <w:rStyle w:val="ui-provider"/>
          <w:sz w:val="20"/>
          <w:szCs w:val="20"/>
        </w:rPr>
        <w:t xml:space="preserve">Image </w:t>
      </w:r>
      <w:r>
        <w:rPr>
          <w:rStyle w:val="ui-provider"/>
          <w:sz w:val="20"/>
          <w:szCs w:val="20"/>
        </w:rPr>
        <w:t>created using</w:t>
      </w:r>
      <w:r w:rsidRPr="00AE59D0">
        <w:rPr>
          <w:rStyle w:val="ui-provider"/>
          <w:sz w:val="20"/>
          <w:szCs w:val="20"/>
        </w:rPr>
        <w:t xml:space="preserve"> </w:t>
      </w:r>
      <w:hyperlink r:id="rId13" w:tgtFrame="_blank" w:tooltip="https://www.desmos.com/?lang=en" w:history="1">
        <w:r w:rsidR="00DF3104" w:rsidRPr="00DF3104">
          <w:rPr>
            <w:rStyle w:val="Hyperlink"/>
            <w:sz w:val="20"/>
            <w:szCs w:val="20"/>
          </w:rPr>
          <w:t>Desmos</w:t>
        </w:r>
      </w:hyperlink>
      <w:r w:rsidR="00DF3104" w:rsidRPr="00DF3104">
        <w:rPr>
          <w:rStyle w:val="ui-provider"/>
          <w:sz w:val="20"/>
          <w:szCs w:val="20"/>
        </w:rPr>
        <w:t xml:space="preserve"> and is licensed under the </w:t>
      </w:r>
      <w:hyperlink r:id="rId14" w:tgtFrame="_blank" w:tooltip="https://www.desmos.com/terms?lang=en" w:history="1">
        <w:r w:rsidR="00DF3104" w:rsidRPr="00DF3104">
          <w:rPr>
            <w:rStyle w:val="Hyperlink"/>
            <w:sz w:val="20"/>
            <w:szCs w:val="20"/>
          </w:rPr>
          <w:t>Desmos Terms of Service</w:t>
        </w:r>
      </w:hyperlink>
      <w:r w:rsidR="00DF3104" w:rsidRPr="00DF3104">
        <w:rPr>
          <w:rStyle w:val="ui-provider"/>
          <w:sz w:val="20"/>
          <w:szCs w:val="20"/>
        </w:rPr>
        <w:t>.</w:t>
      </w:r>
    </w:p>
    <w:p w14:paraId="6729C742" w14:textId="4B366CCD" w:rsidR="008317F5" w:rsidRDefault="00787702" w:rsidP="008317F5">
      <w:pPr>
        <w:pStyle w:val="ListNumber"/>
      </w:pPr>
      <w:r w:rsidRPr="008317F5">
        <w:t xml:space="preserve">Students are to drag the point </w:t>
      </w:r>
      <w:r w:rsidR="00B23592" w:rsidRPr="008317F5">
        <w:t>to construct a new triangle</w:t>
      </w:r>
      <w:r w:rsidR="005D4AAA" w:rsidRPr="008317F5">
        <w:t xml:space="preserve">. </w:t>
      </w:r>
      <w:r w:rsidR="00D42245" w:rsidRPr="008317F5">
        <w:t>An example is available in the image below.</w:t>
      </w:r>
    </w:p>
    <w:p w14:paraId="01F8E325" w14:textId="7CCDBFA8" w:rsidR="00C61062" w:rsidRPr="00C61062" w:rsidRDefault="00C61062" w:rsidP="007836E4">
      <w:pPr>
        <w:pStyle w:val="Caption"/>
      </w:pPr>
      <w:r>
        <w:t xml:space="preserve">Figure </w:t>
      </w:r>
      <w:r>
        <w:fldChar w:fldCharType="begin"/>
      </w:r>
      <w:r>
        <w:instrText xml:space="preserve"> SEQ Figure \* ARABIC </w:instrText>
      </w:r>
      <w:r>
        <w:fldChar w:fldCharType="separate"/>
      </w:r>
      <w:r w:rsidR="00F75B46">
        <w:rPr>
          <w:noProof/>
        </w:rPr>
        <w:t>2</w:t>
      </w:r>
      <w:r>
        <w:fldChar w:fldCharType="end"/>
      </w:r>
      <w:r>
        <w:t xml:space="preserve"> – right-angled triangle</w:t>
      </w:r>
    </w:p>
    <w:p w14:paraId="4F1908BA" w14:textId="3E062596" w:rsidR="008317F5" w:rsidRDefault="00D42245" w:rsidP="008317F5">
      <w:pPr>
        <w:pStyle w:val="ListNumber"/>
        <w:numPr>
          <w:ilvl w:val="0"/>
          <w:numId w:val="0"/>
        </w:numPr>
        <w:ind w:left="567"/>
        <w:rPr>
          <w:lang w:eastAsia="zh-CN"/>
        </w:rPr>
      </w:pPr>
      <w:r>
        <w:rPr>
          <w:noProof/>
        </w:rPr>
        <w:drawing>
          <wp:inline distT="0" distB="0" distL="0" distR="0" wp14:anchorId="4973E9DC" wp14:editId="0776684A">
            <wp:extent cx="3648363" cy="2241137"/>
            <wp:effectExtent l="0" t="0" r="0" b="6985"/>
            <wp:docPr id="7" name="Picture 7" descr="An image of a right-angled triangle with a 30 degree angle at the base, on grid paper from Desmos. The opposite side is 6 metres long, and the adjacent side is 10 metres lo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mage of a right-angled triangle with a 30 degree angle at the base, on grid paper from Desmos. The opposite side is 6 metres long, and the adjacent side is 10 metres long. "/>
                    <pic:cNvPicPr/>
                  </pic:nvPicPr>
                  <pic:blipFill>
                    <a:blip r:embed="rId15"/>
                    <a:stretch>
                      <a:fillRect/>
                    </a:stretch>
                  </pic:blipFill>
                  <pic:spPr>
                    <a:xfrm>
                      <a:off x="0" y="0"/>
                      <a:ext cx="3664059" cy="2250779"/>
                    </a:xfrm>
                    <a:prstGeom prst="rect">
                      <a:avLst/>
                    </a:prstGeom>
                  </pic:spPr>
                </pic:pic>
              </a:graphicData>
            </a:graphic>
          </wp:inline>
        </w:drawing>
      </w:r>
    </w:p>
    <w:p w14:paraId="0CDCC33D" w14:textId="1D44545B" w:rsidR="00DF3104" w:rsidRPr="00DF3104" w:rsidRDefault="00033C71" w:rsidP="00DF3104">
      <w:pPr>
        <w:pStyle w:val="ListNumber"/>
        <w:numPr>
          <w:ilvl w:val="0"/>
          <w:numId w:val="0"/>
        </w:numPr>
        <w:ind w:left="567"/>
        <w:rPr>
          <w:sz w:val="20"/>
          <w:szCs w:val="20"/>
          <w:lang w:eastAsia="zh-CN"/>
        </w:rPr>
      </w:pPr>
      <w:r w:rsidRPr="00AE59D0">
        <w:rPr>
          <w:rStyle w:val="ui-provider"/>
          <w:sz w:val="20"/>
          <w:szCs w:val="20"/>
        </w:rPr>
        <w:t xml:space="preserve">Image </w:t>
      </w:r>
      <w:r>
        <w:rPr>
          <w:rStyle w:val="ui-provider"/>
          <w:sz w:val="20"/>
          <w:szCs w:val="20"/>
        </w:rPr>
        <w:t>created using</w:t>
      </w:r>
      <w:r w:rsidRPr="00AE59D0">
        <w:rPr>
          <w:rStyle w:val="ui-provider"/>
          <w:sz w:val="20"/>
          <w:szCs w:val="20"/>
        </w:rPr>
        <w:t xml:space="preserve"> </w:t>
      </w:r>
      <w:hyperlink r:id="rId16" w:tgtFrame="_blank" w:tooltip="https://www.desmos.com/?lang=en" w:history="1">
        <w:r w:rsidR="00DF3104" w:rsidRPr="00DF3104">
          <w:rPr>
            <w:rStyle w:val="Hyperlink"/>
            <w:sz w:val="20"/>
            <w:szCs w:val="20"/>
          </w:rPr>
          <w:t>Desmos</w:t>
        </w:r>
      </w:hyperlink>
      <w:r w:rsidR="00DF3104" w:rsidRPr="00DF3104">
        <w:rPr>
          <w:rStyle w:val="ui-provider"/>
          <w:sz w:val="20"/>
          <w:szCs w:val="20"/>
        </w:rPr>
        <w:t xml:space="preserve"> and is licensed under the </w:t>
      </w:r>
      <w:hyperlink r:id="rId17" w:tgtFrame="_blank" w:tooltip="https://www.desmos.com/terms?lang=en" w:history="1">
        <w:r w:rsidR="00DF3104" w:rsidRPr="00DF3104">
          <w:rPr>
            <w:rStyle w:val="Hyperlink"/>
            <w:sz w:val="20"/>
            <w:szCs w:val="20"/>
          </w:rPr>
          <w:t>Desmos Terms of Service</w:t>
        </w:r>
      </w:hyperlink>
      <w:r w:rsidR="00DF3104" w:rsidRPr="00DF3104">
        <w:rPr>
          <w:rStyle w:val="ui-provider"/>
          <w:sz w:val="20"/>
          <w:szCs w:val="20"/>
        </w:rPr>
        <w:t>.</w:t>
      </w:r>
    </w:p>
    <w:p w14:paraId="4E9123A8" w14:textId="77777777" w:rsidR="008317F5" w:rsidRDefault="008317F5">
      <w:pPr>
        <w:spacing w:line="276" w:lineRule="auto"/>
        <w:rPr>
          <w:lang w:eastAsia="zh-CN"/>
        </w:rPr>
      </w:pPr>
      <w:r>
        <w:rPr>
          <w:lang w:eastAsia="zh-CN"/>
        </w:rPr>
        <w:br w:type="page"/>
      </w:r>
    </w:p>
    <w:p w14:paraId="187B1C15" w14:textId="12668666" w:rsidR="008317F5" w:rsidRDefault="006F1354" w:rsidP="008317F5">
      <w:pPr>
        <w:pStyle w:val="ListNumber"/>
      </w:pPr>
      <w:r w:rsidRPr="008317F5">
        <w:lastRenderedPageBreak/>
        <w:t>Students r</w:t>
      </w:r>
      <w:r w:rsidR="00F673F1" w:rsidRPr="008317F5">
        <w:t xml:space="preserve">ecord the </w:t>
      </w:r>
      <w:r w:rsidRPr="008317F5">
        <w:t xml:space="preserve">ratio of the </w:t>
      </w:r>
      <w:r w:rsidR="00221693">
        <w:t>2</w:t>
      </w:r>
      <w:r w:rsidR="00221693" w:rsidRPr="008317F5">
        <w:t xml:space="preserve"> </w:t>
      </w:r>
      <w:r w:rsidRPr="008317F5">
        <w:t xml:space="preserve">sides in their table in </w:t>
      </w:r>
      <w:hyperlink w:anchor="_Appendix_A" w:history="1">
        <w:r w:rsidRPr="00B4295B">
          <w:rPr>
            <w:rStyle w:val="Hyperlink"/>
          </w:rPr>
          <w:t>Appendix A</w:t>
        </w:r>
      </w:hyperlink>
      <w:r w:rsidRPr="008317F5">
        <w:t>.</w:t>
      </w:r>
    </w:p>
    <w:p w14:paraId="5D2A2B73" w14:textId="5F347D79" w:rsidR="00C61062" w:rsidRPr="008317F5" w:rsidRDefault="00C61062" w:rsidP="007836E4">
      <w:pPr>
        <w:pStyle w:val="Caption"/>
      </w:pPr>
      <w:r>
        <w:t xml:space="preserve">Figure </w:t>
      </w:r>
      <w:r>
        <w:fldChar w:fldCharType="begin"/>
      </w:r>
      <w:r>
        <w:instrText xml:space="preserve"> SEQ Figure \* ARABIC </w:instrText>
      </w:r>
      <w:r>
        <w:fldChar w:fldCharType="separate"/>
      </w:r>
      <w:r w:rsidR="00F75B46">
        <w:rPr>
          <w:noProof/>
        </w:rPr>
        <w:t>3</w:t>
      </w:r>
      <w:r>
        <w:fldChar w:fldCharType="end"/>
      </w:r>
      <w:r>
        <w:t xml:space="preserve"> – sample answer recorded in the Appendix A table</w:t>
      </w:r>
    </w:p>
    <w:p w14:paraId="4A0B009F" w14:textId="45F10E05" w:rsidR="00D02C17" w:rsidRDefault="00617283" w:rsidP="008317F5">
      <w:pPr>
        <w:pStyle w:val="ListNumber"/>
        <w:numPr>
          <w:ilvl w:val="0"/>
          <w:numId w:val="0"/>
        </w:numPr>
        <w:ind w:left="567"/>
        <w:rPr>
          <w:lang w:eastAsia="zh-CN"/>
        </w:rPr>
      </w:pPr>
      <w:r>
        <w:rPr>
          <w:noProof/>
        </w:rPr>
        <w:drawing>
          <wp:inline distT="0" distB="0" distL="0" distR="0" wp14:anchorId="28ABFFC6" wp14:editId="3664C5B5">
            <wp:extent cx="5706260" cy="733425"/>
            <wp:effectExtent l="0" t="0" r="8890" b="0"/>
            <wp:docPr id="17" name="Picture 17" descr="An image of the first row of the first table from Appendix A, with the first cell, opposite: adjacent, filled in, showing 6: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n image of the first row of the first table from Appendix A, with the first cell, opposite: adjacent, filled in, showing 6:10. "/>
                    <pic:cNvPicPr/>
                  </pic:nvPicPr>
                  <pic:blipFill>
                    <a:blip r:embed="rId18"/>
                    <a:stretch>
                      <a:fillRect/>
                    </a:stretch>
                  </pic:blipFill>
                  <pic:spPr>
                    <a:xfrm>
                      <a:off x="0" y="0"/>
                      <a:ext cx="5737596" cy="737453"/>
                    </a:xfrm>
                    <a:prstGeom prst="rect">
                      <a:avLst/>
                    </a:prstGeom>
                  </pic:spPr>
                </pic:pic>
              </a:graphicData>
            </a:graphic>
          </wp:inline>
        </w:drawing>
      </w:r>
    </w:p>
    <w:p w14:paraId="7EDD89AB" w14:textId="77777777" w:rsidR="00EC32AC" w:rsidRDefault="00EC32AC">
      <w:pPr>
        <w:rPr>
          <w:lang w:eastAsia="zh-CN"/>
        </w:rPr>
      </w:pPr>
      <w:r>
        <w:rPr>
          <w:lang w:eastAsia="zh-CN"/>
        </w:rPr>
        <w:br w:type="page"/>
      </w:r>
    </w:p>
    <w:p w14:paraId="36F41C61" w14:textId="711DA4E4" w:rsidR="00B078A9" w:rsidRDefault="005D6CBA" w:rsidP="00787702">
      <w:pPr>
        <w:pStyle w:val="ListNumber"/>
        <w:rPr>
          <w:lang w:eastAsia="zh-CN"/>
        </w:rPr>
      </w:pPr>
      <w:r>
        <w:rPr>
          <w:lang w:eastAsia="zh-CN"/>
        </w:rPr>
        <w:lastRenderedPageBreak/>
        <w:t>Instruct students to turn on the hypotenuse.</w:t>
      </w:r>
    </w:p>
    <w:p w14:paraId="194BB751" w14:textId="358481A3" w:rsidR="003D21BC" w:rsidRDefault="003D21BC" w:rsidP="007836E4">
      <w:pPr>
        <w:pStyle w:val="Caption"/>
        <w:rPr>
          <w:lang w:eastAsia="zh-CN"/>
        </w:rPr>
      </w:pPr>
      <w:r>
        <w:t xml:space="preserve">Figure </w:t>
      </w:r>
      <w:r>
        <w:fldChar w:fldCharType="begin"/>
      </w:r>
      <w:r>
        <w:instrText xml:space="preserve"> SEQ Figure \* ARABIC </w:instrText>
      </w:r>
      <w:r>
        <w:fldChar w:fldCharType="separate"/>
      </w:r>
      <w:r w:rsidR="00F75B46">
        <w:rPr>
          <w:noProof/>
        </w:rPr>
        <w:t>4</w:t>
      </w:r>
      <w:r>
        <w:fldChar w:fldCharType="end"/>
      </w:r>
      <w:r>
        <w:t xml:space="preserve"> –</w:t>
      </w:r>
      <w:r w:rsidR="00834F17">
        <w:t xml:space="preserve"> </w:t>
      </w:r>
      <w:r>
        <w:t xml:space="preserve">hypotenuse button on Desmos, </w:t>
      </w:r>
      <w:r w:rsidR="00834F17">
        <w:t>and</w:t>
      </w:r>
      <w:r>
        <w:t xml:space="preserve"> sample right-angled triangle</w:t>
      </w:r>
    </w:p>
    <w:p w14:paraId="4544AE55" w14:textId="425BA131" w:rsidR="00970033" w:rsidRDefault="00EC32AC" w:rsidP="00B078A9">
      <w:pPr>
        <w:pStyle w:val="ListNumber"/>
        <w:numPr>
          <w:ilvl w:val="0"/>
          <w:numId w:val="0"/>
        </w:numPr>
        <w:ind w:left="567"/>
        <w:rPr>
          <w:lang w:eastAsia="zh-CN"/>
        </w:rPr>
      </w:pPr>
      <w:r>
        <w:rPr>
          <w:noProof/>
        </w:rPr>
        <w:drawing>
          <wp:inline distT="0" distB="0" distL="0" distR="0" wp14:anchorId="1007F29C" wp14:editId="2E88BFFA">
            <wp:extent cx="4257963" cy="3361550"/>
            <wp:effectExtent l="0" t="0" r="0" b="0"/>
            <wp:docPr id="14" name="Picture 14" descr="An image of the three switches from Desmos all flicked so that all three sides, opposite, adjacent and hypotenuse, are switched to the right, and are on. The related triangle is also shown, with its angle of 30 degrees and three sides showing lengths of  6 metres for the opposite, 10 metres for the adjacent and 12 metres for the hypoten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image of the three switches from Desmos all flicked so that all three sides, opposite, adjacent and hypotenuse, are switched to the right, and are on. The related triangle is also shown, with its angle of 30 degrees and three sides showing lengths of  6 metres for the opposite, 10 metres for the adjacent and 12 metres for the hypotenuse. "/>
                    <pic:cNvPicPr/>
                  </pic:nvPicPr>
                  <pic:blipFill>
                    <a:blip r:embed="rId19"/>
                    <a:stretch>
                      <a:fillRect/>
                    </a:stretch>
                  </pic:blipFill>
                  <pic:spPr>
                    <a:xfrm>
                      <a:off x="0" y="0"/>
                      <a:ext cx="4261533" cy="3364368"/>
                    </a:xfrm>
                    <a:prstGeom prst="rect">
                      <a:avLst/>
                    </a:prstGeom>
                  </pic:spPr>
                </pic:pic>
              </a:graphicData>
            </a:graphic>
          </wp:inline>
        </w:drawing>
      </w:r>
    </w:p>
    <w:p w14:paraId="5043A426" w14:textId="39203CE7" w:rsidR="00DF3104" w:rsidRPr="00DF3104" w:rsidRDefault="00033C71" w:rsidP="00DF3104">
      <w:pPr>
        <w:pStyle w:val="ListNumber"/>
        <w:numPr>
          <w:ilvl w:val="0"/>
          <w:numId w:val="0"/>
        </w:numPr>
        <w:ind w:left="567"/>
        <w:rPr>
          <w:sz w:val="20"/>
          <w:szCs w:val="20"/>
          <w:lang w:eastAsia="zh-CN"/>
        </w:rPr>
      </w:pPr>
      <w:r w:rsidRPr="00AE59D0">
        <w:rPr>
          <w:rStyle w:val="ui-provider"/>
          <w:sz w:val="20"/>
          <w:szCs w:val="20"/>
        </w:rPr>
        <w:t xml:space="preserve">Image </w:t>
      </w:r>
      <w:r>
        <w:rPr>
          <w:rStyle w:val="ui-provider"/>
          <w:sz w:val="20"/>
          <w:szCs w:val="20"/>
        </w:rPr>
        <w:t>created using</w:t>
      </w:r>
      <w:r w:rsidRPr="00AE59D0">
        <w:rPr>
          <w:rStyle w:val="ui-provider"/>
          <w:sz w:val="20"/>
          <w:szCs w:val="20"/>
        </w:rPr>
        <w:t xml:space="preserve"> </w:t>
      </w:r>
      <w:hyperlink r:id="rId20" w:tgtFrame="_blank" w:tooltip="https://www.desmos.com/?lang=en" w:history="1">
        <w:r w:rsidR="00DF3104" w:rsidRPr="00DF3104">
          <w:rPr>
            <w:rStyle w:val="Hyperlink"/>
            <w:sz w:val="20"/>
            <w:szCs w:val="20"/>
          </w:rPr>
          <w:t>Desmos</w:t>
        </w:r>
      </w:hyperlink>
      <w:r w:rsidR="00DF3104" w:rsidRPr="00DF3104">
        <w:rPr>
          <w:rStyle w:val="ui-provider"/>
          <w:sz w:val="20"/>
          <w:szCs w:val="20"/>
        </w:rPr>
        <w:t xml:space="preserve"> and is licensed under the </w:t>
      </w:r>
      <w:hyperlink r:id="rId21" w:tgtFrame="_blank" w:tooltip="https://www.desmos.com/terms?lang=en" w:history="1">
        <w:r w:rsidR="00DF3104" w:rsidRPr="00DF3104">
          <w:rPr>
            <w:rStyle w:val="Hyperlink"/>
            <w:sz w:val="20"/>
            <w:szCs w:val="20"/>
          </w:rPr>
          <w:t>Desmos Terms of Service</w:t>
        </w:r>
      </w:hyperlink>
      <w:r w:rsidR="00DF3104" w:rsidRPr="00DF3104">
        <w:rPr>
          <w:rStyle w:val="ui-provider"/>
          <w:sz w:val="20"/>
          <w:szCs w:val="20"/>
        </w:rPr>
        <w:t>.</w:t>
      </w:r>
    </w:p>
    <w:p w14:paraId="74A02FDB" w14:textId="5ECB8AD4" w:rsidR="00B078A9" w:rsidRDefault="00EC32AC" w:rsidP="00787702">
      <w:pPr>
        <w:pStyle w:val="ListNumber"/>
        <w:rPr>
          <w:lang w:eastAsia="zh-CN"/>
        </w:rPr>
      </w:pPr>
      <w:r>
        <w:rPr>
          <w:lang w:eastAsia="zh-CN"/>
        </w:rPr>
        <w:t>Students complete the rest of this row of the table.</w:t>
      </w:r>
    </w:p>
    <w:p w14:paraId="4199BF5B" w14:textId="376E234E" w:rsidR="003D21BC" w:rsidRPr="003D21BC" w:rsidRDefault="003D21BC" w:rsidP="00326005">
      <w:pPr>
        <w:pStyle w:val="Caption"/>
      </w:pPr>
      <w:r>
        <w:t xml:space="preserve">Figure </w:t>
      </w:r>
      <w:r>
        <w:fldChar w:fldCharType="begin"/>
      </w:r>
      <w:r>
        <w:instrText xml:space="preserve"> SEQ Figure \* ARABIC </w:instrText>
      </w:r>
      <w:r>
        <w:fldChar w:fldCharType="separate"/>
      </w:r>
      <w:r w:rsidR="00F75B46">
        <w:rPr>
          <w:noProof/>
        </w:rPr>
        <w:t>5</w:t>
      </w:r>
      <w:r>
        <w:fldChar w:fldCharType="end"/>
      </w:r>
      <w:r>
        <w:t xml:space="preserve"> –first row from Appendix A filled in with answers</w:t>
      </w:r>
    </w:p>
    <w:p w14:paraId="34EF9C76" w14:textId="1632016E" w:rsidR="00EE081D" w:rsidRDefault="00021FDB" w:rsidP="00B078A9">
      <w:pPr>
        <w:pStyle w:val="ListNumber"/>
        <w:numPr>
          <w:ilvl w:val="0"/>
          <w:numId w:val="0"/>
        </w:numPr>
        <w:ind w:left="567"/>
        <w:rPr>
          <w:lang w:eastAsia="zh-CN"/>
        </w:rPr>
      </w:pPr>
      <w:r>
        <w:rPr>
          <w:noProof/>
        </w:rPr>
        <w:drawing>
          <wp:inline distT="0" distB="0" distL="0" distR="0" wp14:anchorId="332F9084" wp14:editId="2EA91F0B">
            <wp:extent cx="5615709" cy="724119"/>
            <wp:effectExtent l="0" t="0" r="4445" b="0"/>
            <wp:docPr id="16" name="Picture 16" descr="An image of the first row of the first table from Appendix A, with all 3 ratios filled in, with opposite: adjacent being 6:10, opposite: hypotenuse being 6:12 and adjacent: hypotenuse being 1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mage of the first row of the first table from Appendix A, with all 3 ratios filled in, with opposite: adjacent being 6:10, opposite: hypotenuse being 6:12 and adjacent: hypotenuse being 10:12. "/>
                    <pic:cNvPicPr/>
                  </pic:nvPicPr>
                  <pic:blipFill>
                    <a:blip r:embed="rId22"/>
                    <a:stretch>
                      <a:fillRect/>
                    </a:stretch>
                  </pic:blipFill>
                  <pic:spPr>
                    <a:xfrm>
                      <a:off x="0" y="0"/>
                      <a:ext cx="5638726" cy="727087"/>
                    </a:xfrm>
                    <a:prstGeom prst="rect">
                      <a:avLst/>
                    </a:prstGeom>
                  </pic:spPr>
                </pic:pic>
              </a:graphicData>
            </a:graphic>
          </wp:inline>
        </w:drawing>
      </w:r>
    </w:p>
    <w:p w14:paraId="2CCE910D" w14:textId="0B4C9E87" w:rsidR="00EC32AC" w:rsidRDefault="00EE081D" w:rsidP="00787702">
      <w:pPr>
        <w:pStyle w:val="ListNumber"/>
        <w:rPr>
          <w:lang w:eastAsia="zh-CN"/>
        </w:rPr>
      </w:pPr>
      <w:r>
        <w:rPr>
          <w:lang w:eastAsia="zh-CN"/>
        </w:rPr>
        <w:t>Students drag the point to make a new triangle and fill in the next row of the table. If it helps students to engage, they can turn off the side they aren’t using at any time.</w:t>
      </w:r>
    </w:p>
    <w:p w14:paraId="29AEC43A" w14:textId="2B2524E5" w:rsidR="00EE081D" w:rsidRPr="00540E17" w:rsidRDefault="00540E17" w:rsidP="00787702">
      <w:pPr>
        <w:pStyle w:val="ListNumber"/>
        <w:rPr>
          <w:lang w:eastAsia="zh-CN"/>
        </w:rPr>
      </w:pPr>
      <w:r>
        <w:rPr>
          <w:lang w:eastAsia="zh-CN"/>
        </w:rPr>
        <w:t xml:space="preserve">Students then use the slider on the screen to change angle to </w:t>
      </w:r>
      <m:oMath>
        <m:sSup>
          <m:sSupPr>
            <m:ctrlPr>
              <w:rPr>
                <w:rFonts w:ascii="Cambria Math" w:hAnsi="Cambria Math"/>
                <w:lang w:eastAsia="zh-CN"/>
              </w:rPr>
            </m:ctrlPr>
          </m:sSupPr>
          <m:e>
            <m:r>
              <m:rPr>
                <m:sty m:val="p"/>
              </m:rPr>
              <w:rPr>
                <w:rFonts w:ascii="Cambria Math" w:hAnsi="Cambria Math"/>
                <w:lang w:eastAsia="zh-CN"/>
              </w:rPr>
              <m:t>45</m:t>
            </m:r>
          </m:e>
          <m:sup>
            <m:r>
              <w:rPr>
                <w:rFonts w:ascii="Cambria Math" w:hAnsi="Cambria Math"/>
                <w:lang w:eastAsia="zh-CN"/>
              </w:rPr>
              <m:t>o</m:t>
            </m:r>
          </m:sup>
        </m:sSup>
      </m:oMath>
      <w:r w:rsidRPr="00DB611E">
        <w:rPr>
          <w:lang w:eastAsia="zh-CN"/>
        </w:rPr>
        <w:t xml:space="preserve"> to complete the second table, and </w:t>
      </w:r>
      <m:oMath>
        <m:sSup>
          <m:sSupPr>
            <m:ctrlPr>
              <w:rPr>
                <w:rFonts w:ascii="Cambria Math" w:hAnsi="Cambria Math"/>
                <w:lang w:eastAsia="zh-CN"/>
              </w:rPr>
            </m:ctrlPr>
          </m:sSupPr>
          <m:e>
            <m:r>
              <m:rPr>
                <m:sty m:val="p"/>
              </m:rPr>
              <w:rPr>
                <w:rFonts w:ascii="Cambria Math" w:hAnsi="Cambria Math"/>
                <w:lang w:eastAsia="zh-CN"/>
              </w:rPr>
              <m:t>60</m:t>
            </m:r>
          </m:e>
          <m:sup>
            <m:r>
              <w:rPr>
                <w:rFonts w:ascii="Cambria Math" w:hAnsi="Cambria Math"/>
                <w:lang w:eastAsia="zh-CN"/>
              </w:rPr>
              <m:t>o</m:t>
            </m:r>
          </m:sup>
        </m:sSup>
      </m:oMath>
      <w:r w:rsidRPr="00DB611E">
        <w:rPr>
          <w:lang w:eastAsia="zh-CN"/>
        </w:rPr>
        <w:t xml:space="preserve"> to complete the third table.</w:t>
      </w:r>
    </w:p>
    <w:p w14:paraId="13B98923" w14:textId="28BE45E7" w:rsidR="00114A4A" w:rsidRPr="008317F5" w:rsidRDefault="00540E17" w:rsidP="000D2D7C">
      <w:pPr>
        <w:pStyle w:val="ListNumber"/>
      </w:pPr>
      <w:r>
        <w:rPr>
          <w:lang w:eastAsia="zh-CN"/>
        </w:rPr>
        <w:t xml:space="preserve">Students are to engage in a </w:t>
      </w:r>
      <w:hyperlink r:id="rId23" w:history="1">
        <w:r w:rsidR="002C5749" w:rsidRPr="002C5749">
          <w:rPr>
            <w:rStyle w:val="Hyperlink"/>
            <w:lang w:eastAsia="zh-CN"/>
          </w:rPr>
          <w:t>Think-Pair-Share</w:t>
        </w:r>
      </w:hyperlink>
      <w:r>
        <w:rPr>
          <w:lang w:eastAsia="zh-CN"/>
        </w:rPr>
        <w:t xml:space="preserve"> (</w:t>
      </w:r>
      <w:hyperlink r:id="rId24" w:tgtFrame="_blank" w:history="1">
        <w:r w:rsidRPr="00114A4A">
          <w:rPr>
            <w:color w:val="2F5496"/>
            <w:u w:val="single"/>
            <w:shd w:val="clear" w:color="auto" w:fill="FFFFFF"/>
          </w:rPr>
          <w:t>bit.ly/thinkpairsharestrategy</w:t>
        </w:r>
      </w:hyperlink>
      <w:r>
        <w:rPr>
          <w:lang w:eastAsia="zh-CN"/>
        </w:rPr>
        <w:t xml:space="preserve">) to examine their table and answer the questions in </w:t>
      </w:r>
      <w:hyperlink w:anchor="_Appendix_A" w:history="1">
        <w:r w:rsidRPr="00B4295B">
          <w:rPr>
            <w:rStyle w:val="Hyperlink"/>
            <w:lang w:eastAsia="zh-CN"/>
          </w:rPr>
          <w:t>Appendix A</w:t>
        </w:r>
      </w:hyperlink>
      <w:r>
        <w:rPr>
          <w:lang w:eastAsia="zh-CN"/>
        </w:rPr>
        <w:t>.</w:t>
      </w:r>
    </w:p>
    <w:p w14:paraId="078694A0" w14:textId="74D48327" w:rsidR="00970033" w:rsidRPr="008317F5" w:rsidRDefault="00114A4A" w:rsidP="00114A4A">
      <w:pPr>
        <w:pStyle w:val="FeatureBox"/>
      </w:pPr>
      <w:r>
        <w:t>The graph also contains a slider for the number of decimal places to be displayed. The slider defaults to 0 decimal places</w:t>
      </w:r>
      <w:r w:rsidR="00822ACF">
        <w:t>.</w:t>
      </w:r>
    </w:p>
    <w:p w14:paraId="0AD3C075" w14:textId="77777777" w:rsidR="00822ACF" w:rsidRPr="008317F5" w:rsidRDefault="00822ACF" w:rsidP="008317F5">
      <w:r>
        <w:br w:type="page"/>
      </w:r>
    </w:p>
    <w:p w14:paraId="2F468947" w14:textId="779EEA17" w:rsidR="00A51D10" w:rsidRPr="00A61E42" w:rsidRDefault="00A51D10" w:rsidP="00A61E42">
      <w:pPr>
        <w:pStyle w:val="Heading3"/>
      </w:pPr>
      <w:r w:rsidRPr="00A61E42">
        <w:lastRenderedPageBreak/>
        <w:t>Explore</w:t>
      </w:r>
    </w:p>
    <w:p w14:paraId="73E3E3CD" w14:textId="7F681F81" w:rsidR="00671004" w:rsidRDefault="00D94F66" w:rsidP="00671004">
      <w:pPr>
        <w:pStyle w:val="ListNumber"/>
        <w:numPr>
          <w:ilvl w:val="0"/>
          <w:numId w:val="0"/>
        </w:numPr>
        <w:rPr>
          <w:lang w:eastAsia="zh-CN"/>
        </w:rPr>
      </w:pPr>
      <w:r>
        <w:rPr>
          <w:lang w:eastAsia="zh-CN"/>
        </w:rPr>
        <w:t xml:space="preserve">This exploration challenges students to interrogate relationships between measurements in right-angled triangles to establish the </w:t>
      </w:r>
      <w:r w:rsidR="00BB7F2F">
        <w:rPr>
          <w:lang w:eastAsia="zh-CN"/>
        </w:rPr>
        <w:t>trigonometric ratios.</w:t>
      </w:r>
    </w:p>
    <w:p w14:paraId="5C41D69C" w14:textId="19E9EFD4" w:rsidR="00C34465" w:rsidRPr="00C34465" w:rsidRDefault="00C34465" w:rsidP="002A67F7">
      <w:pPr>
        <w:pStyle w:val="FeatureBox"/>
      </w:pPr>
      <w:r>
        <w:t xml:space="preserve">The remainder of this task can </w:t>
      </w:r>
      <w:r w:rsidR="00FA2E89">
        <w:t xml:space="preserve">alternatively be </w:t>
      </w:r>
      <w:r>
        <w:t>completed online using the Desmos activity</w:t>
      </w:r>
      <w:r w:rsidR="00BF1087">
        <w:t xml:space="preserve">, </w:t>
      </w:r>
      <w:hyperlink r:id="rId25" w:history="1">
        <w:r w:rsidR="00BF1087" w:rsidRPr="00242BB1">
          <w:rPr>
            <w:rStyle w:val="Hyperlink"/>
          </w:rPr>
          <w:t>Trigonometric ratios</w:t>
        </w:r>
      </w:hyperlink>
      <w:r w:rsidR="00BF1087">
        <w:t xml:space="preserve"> (</w:t>
      </w:r>
      <w:hyperlink r:id="rId26" w:history="1">
        <w:r w:rsidR="00BF1087" w:rsidRPr="00F06B42">
          <w:rPr>
            <w:rStyle w:val="Hyperlink"/>
          </w:rPr>
          <w:t>bit.ly/desmostrigonometricratios</w:t>
        </w:r>
      </w:hyperlink>
      <w:r w:rsidR="00BF1087">
        <w:t>)</w:t>
      </w:r>
      <w:r>
        <w:t>.</w:t>
      </w:r>
    </w:p>
    <w:p w14:paraId="31907587" w14:textId="2A2761CF" w:rsidR="00011156" w:rsidRPr="00687E15" w:rsidRDefault="00011156" w:rsidP="00F732AC">
      <w:pPr>
        <w:pStyle w:val="Heading4"/>
      </w:pPr>
      <w:r>
        <w:rPr>
          <w:lang w:eastAsia="zh-CN"/>
        </w:rPr>
        <w:t>Understanding the sine and cosine ratios</w:t>
      </w:r>
    </w:p>
    <w:p w14:paraId="237A9E29" w14:textId="0075BC47" w:rsidR="00011156" w:rsidRPr="00F732AC" w:rsidRDefault="00011156" w:rsidP="00F732AC">
      <w:pPr>
        <w:pStyle w:val="Heading5"/>
      </w:pPr>
      <w:r w:rsidRPr="00F732AC">
        <w:t>Equipment</w:t>
      </w:r>
    </w:p>
    <w:p w14:paraId="3FC48FA3" w14:textId="059D1636" w:rsidR="00011156" w:rsidRDefault="00000000" w:rsidP="00011156">
      <w:pPr>
        <w:pStyle w:val="ListBullet"/>
        <w:rPr>
          <w:lang w:eastAsia="zh-CN"/>
        </w:rPr>
      </w:pPr>
      <w:hyperlink w:anchor="_Appendix_B" w:history="1">
        <w:r w:rsidR="00011156" w:rsidRPr="00B4295B">
          <w:rPr>
            <w:rStyle w:val="Hyperlink"/>
            <w:lang w:eastAsia="zh-CN"/>
          </w:rPr>
          <w:t xml:space="preserve">Appendix </w:t>
        </w:r>
        <w:r w:rsidR="008C1366" w:rsidRPr="00B4295B">
          <w:rPr>
            <w:rStyle w:val="Hyperlink"/>
            <w:lang w:eastAsia="zh-CN"/>
          </w:rPr>
          <w:t>B</w:t>
        </w:r>
      </w:hyperlink>
      <w:r w:rsidR="00011156">
        <w:rPr>
          <w:lang w:eastAsia="zh-CN"/>
        </w:rPr>
        <w:t>, 1 per student</w:t>
      </w:r>
    </w:p>
    <w:p w14:paraId="6A05BA3E" w14:textId="6AFBAB8F" w:rsidR="00011156" w:rsidRDefault="00011156" w:rsidP="00011156">
      <w:pPr>
        <w:pStyle w:val="ListBullet"/>
        <w:rPr>
          <w:lang w:eastAsia="zh-CN"/>
        </w:rPr>
      </w:pPr>
      <w:r>
        <w:rPr>
          <w:lang w:eastAsia="zh-CN"/>
        </w:rPr>
        <w:t>Ruler, 1 per student</w:t>
      </w:r>
    </w:p>
    <w:p w14:paraId="53F17912" w14:textId="225BA36C" w:rsidR="00011156" w:rsidRPr="00011156" w:rsidRDefault="00011156" w:rsidP="00011156">
      <w:pPr>
        <w:pStyle w:val="ListBullet"/>
        <w:rPr>
          <w:lang w:eastAsia="zh-CN"/>
        </w:rPr>
      </w:pPr>
      <w:r>
        <w:rPr>
          <w:lang w:eastAsia="zh-CN"/>
        </w:rPr>
        <w:t>Protractor, 1 per student</w:t>
      </w:r>
    </w:p>
    <w:p w14:paraId="00E8B9D7" w14:textId="1876D644" w:rsidR="00011156" w:rsidRDefault="00011156" w:rsidP="00011156">
      <w:pPr>
        <w:pStyle w:val="Heading5"/>
      </w:pPr>
      <w:r>
        <w:t>Method</w:t>
      </w:r>
    </w:p>
    <w:p w14:paraId="7742E572" w14:textId="51E60937" w:rsidR="00011156" w:rsidRPr="00592E3A" w:rsidRDefault="00011156" w:rsidP="00592E3A">
      <w:pPr>
        <w:pStyle w:val="ListNumber"/>
        <w:numPr>
          <w:ilvl w:val="0"/>
          <w:numId w:val="23"/>
        </w:numPr>
      </w:pPr>
      <w:r w:rsidRPr="00592E3A">
        <w:t xml:space="preserve">Hand out Appendix </w:t>
      </w:r>
      <w:r w:rsidR="008C1366" w:rsidRPr="00592E3A">
        <w:t>B</w:t>
      </w:r>
      <w:r w:rsidR="00C670FE">
        <w:t>,</w:t>
      </w:r>
      <w:r w:rsidRPr="00592E3A">
        <w:t xml:space="preserve"> a ruler and protractor to all students.</w:t>
      </w:r>
    </w:p>
    <w:p w14:paraId="509ACA42" w14:textId="49FAFDB0" w:rsidR="00D3792D" w:rsidRPr="00592E3A" w:rsidRDefault="00F17B96" w:rsidP="00592E3A">
      <w:pPr>
        <w:pStyle w:val="ListNumber"/>
        <w:numPr>
          <w:ilvl w:val="0"/>
          <w:numId w:val="23"/>
        </w:numPr>
      </w:pPr>
      <w:r w:rsidRPr="00592E3A">
        <w:t xml:space="preserve">As a class, </w:t>
      </w:r>
      <w:r w:rsidR="008F7CE1" w:rsidRPr="00592E3A">
        <w:t>show</w:t>
      </w:r>
      <w:r w:rsidRPr="00592E3A">
        <w:t xml:space="preserve"> in a calculator</w:t>
      </w:r>
      <w:r w:rsidR="008F7CE1" w:rsidRPr="00592E3A">
        <w:t xml:space="preserve"> that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r>
          <w:rPr>
            <w:rFonts w:ascii="Cambria Math" w:hAnsi="Cambria Math"/>
          </w:rPr>
          <m:t>=</m:t>
        </m:r>
        <m:f>
          <m:fPr>
            <m:ctrlPr>
              <w:rPr>
                <w:rFonts w:ascii="Cambria Math" w:hAnsi="Cambria Math"/>
                <w:lang w:eastAsia="zh-CN"/>
              </w:rPr>
            </m:ctrlPr>
          </m:fPr>
          <m:num>
            <m:r>
              <w:rPr>
                <w:rFonts w:ascii="Cambria Math" w:hAnsi="Cambria Math"/>
              </w:rPr>
              <m:t>1</m:t>
            </m:r>
          </m:num>
          <m:den>
            <m:r>
              <w:rPr>
                <w:rFonts w:ascii="Cambria Math" w:hAnsi="Cambria Math"/>
              </w:rPr>
              <m:t>2</m:t>
            </m:r>
          </m:den>
        </m:f>
      </m:oMath>
      <w:r w:rsidRPr="00592E3A">
        <w:t xml:space="preserve">. Discuss that </w:t>
      </w:r>
      <w:r w:rsidR="008F7CE1" w:rsidRPr="00592E3A">
        <w:t xml:space="preserve">the </w:t>
      </w:r>
      <w:r w:rsidR="008F7CE1" w:rsidRPr="00A47C63">
        <w:rPr>
          <w:i/>
          <w:iCs/>
        </w:rPr>
        <w:t>30</w:t>
      </w:r>
      <w:r w:rsidR="008F7CE1" w:rsidRPr="00592E3A">
        <w:t xml:space="preserve"> with </w:t>
      </w:r>
      <w:r w:rsidR="008F7CE1" w:rsidRPr="00A47C63">
        <w:rPr>
          <w:i/>
          <w:iCs/>
        </w:rPr>
        <w:t>sin</w:t>
      </w:r>
      <w:r w:rsidR="008F7CE1" w:rsidRPr="00592E3A">
        <w:t xml:space="preserve"> means a right-angled triangle that also has a </w:t>
      </w:r>
      <m:oMath>
        <m:sSup>
          <m:sSupPr>
            <m:ctrlPr>
              <w:rPr>
                <w:rFonts w:ascii="Cambria Math" w:hAnsi="Cambria Math"/>
                <w:lang w:eastAsia="zh-CN"/>
              </w:rPr>
            </m:ctrlPr>
          </m:sSupPr>
          <m:e>
            <m:r>
              <w:rPr>
                <w:rFonts w:ascii="Cambria Math" w:hAnsi="Cambria Math"/>
              </w:rPr>
              <m:t>30</m:t>
            </m:r>
          </m:e>
          <m:sup>
            <m:r>
              <w:rPr>
                <w:rFonts w:ascii="Cambria Math" w:hAnsi="Cambria Math"/>
              </w:rPr>
              <m:t>o</m:t>
            </m:r>
          </m:sup>
        </m:sSup>
      </m:oMath>
      <w:r w:rsidR="008F7CE1" w:rsidRPr="00592E3A">
        <w:t xml:space="preserve"> angle.</w:t>
      </w:r>
    </w:p>
    <w:p w14:paraId="00B3BEB8" w14:textId="293324D1" w:rsidR="00E06B99" w:rsidRPr="00592E3A" w:rsidRDefault="00011156" w:rsidP="00592E3A">
      <w:pPr>
        <w:pStyle w:val="ListNumber"/>
        <w:numPr>
          <w:ilvl w:val="0"/>
          <w:numId w:val="23"/>
        </w:numPr>
      </w:pPr>
      <w:r w:rsidRPr="00592E3A">
        <w:t xml:space="preserve">All students should write the value for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oMath>
      <w:r w:rsidRPr="00592E3A">
        <w:t xml:space="preserve"> on their version of Appendix </w:t>
      </w:r>
      <w:r w:rsidR="00023FE1" w:rsidRPr="00592E3A">
        <w:t>B</w:t>
      </w:r>
      <w:r w:rsidRPr="00592E3A">
        <w:t>.</w:t>
      </w:r>
    </w:p>
    <w:p w14:paraId="1E21DA07" w14:textId="30DA7C13" w:rsidR="00011156" w:rsidRPr="00592E3A" w:rsidRDefault="00011156" w:rsidP="00592E3A">
      <w:pPr>
        <w:pStyle w:val="ListNumber"/>
        <w:numPr>
          <w:ilvl w:val="0"/>
          <w:numId w:val="23"/>
        </w:numPr>
      </w:pPr>
      <w:r w:rsidRPr="00592E3A">
        <w:t>Randomly sort students into groups of 3</w:t>
      </w:r>
      <w:r w:rsidR="006A7795" w:rsidRPr="00592E3A">
        <w:t>, using a deck of cards or dice.</w:t>
      </w:r>
    </w:p>
    <w:p w14:paraId="1A207527" w14:textId="006029E3" w:rsidR="00011156" w:rsidRDefault="00011156" w:rsidP="00011156">
      <w:pPr>
        <w:pStyle w:val="FeatureBox"/>
      </w:pPr>
      <w:r>
        <w:t xml:space="preserve">In </w:t>
      </w:r>
      <w:r w:rsidRPr="00592E3A">
        <w:rPr>
          <w:i/>
          <w:iCs/>
        </w:rPr>
        <w:t>Building Thinking Classrooms in Mathematics</w:t>
      </w:r>
      <w:r>
        <w:t>, Peter Liljedahl outlines how visibly random groups of 3 seem to be the most conducive to mathematical thinking</w:t>
      </w:r>
      <w:r w:rsidR="00FD0D32">
        <w:t>.</w:t>
      </w:r>
    </w:p>
    <w:p w14:paraId="1BC5E8F9" w14:textId="7A971FCC" w:rsidR="00011156" w:rsidRDefault="006A7795" w:rsidP="00F17B96">
      <w:pPr>
        <w:pStyle w:val="ListNumber"/>
        <w:rPr>
          <w:lang w:eastAsia="zh-CN"/>
        </w:rPr>
      </w:pPr>
      <w:r>
        <w:rPr>
          <w:lang w:eastAsia="zh-CN"/>
        </w:rPr>
        <w:t>Have students work together to perform the investigation.</w:t>
      </w:r>
    </w:p>
    <w:p w14:paraId="1AC42D3E" w14:textId="40B106C2" w:rsidR="00B30EA5" w:rsidRDefault="006A7795" w:rsidP="00102659">
      <w:pPr>
        <w:pStyle w:val="FeatureBox"/>
      </w:pPr>
      <w:r>
        <w:t xml:space="preserve">In </w:t>
      </w:r>
      <w:r w:rsidRPr="008F7BEF">
        <w:rPr>
          <w:i/>
          <w:iCs/>
        </w:rPr>
        <w:t>Building Thinking Classrooms in Mathematics</w:t>
      </w:r>
      <w:r>
        <w:t>, Peter Liljedahl outlines how groups who regularly experience working on vertical, non-permanent surfaces</w:t>
      </w:r>
      <w:r w:rsidR="00340EDD">
        <w:t xml:space="preserve"> (</w:t>
      </w:r>
      <w:hyperlink r:id="rId27" w:history="1">
        <w:r w:rsidR="00340EDD" w:rsidRPr="00F16778">
          <w:rPr>
            <w:rStyle w:val="Hyperlink"/>
          </w:rPr>
          <w:t>bit.ly/VNPSstrategy</w:t>
        </w:r>
      </w:hyperlink>
      <w:r w:rsidR="00340EDD">
        <w:t>)</w:t>
      </w:r>
      <w:r>
        <w:t xml:space="preserve"> display greater productivity and likelihood of deep mathematical thinking.</w:t>
      </w:r>
    </w:p>
    <w:p w14:paraId="411526F4" w14:textId="5582164D" w:rsidR="0098281B" w:rsidRPr="00AC4BF4" w:rsidRDefault="008F7CE1" w:rsidP="00F17B96">
      <w:pPr>
        <w:pStyle w:val="ListNumber"/>
        <w:rPr>
          <w:lang w:eastAsia="zh-CN"/>
        </w:rPr>
      </w:pPr>
      <w:r>
        <w:rPr>
          <w:lang w:eastAsia="zh-CN"/>
        </w:rPr>
        <w:lastRenderedPageBreak/>
        <w:t xml:space="preserve">Students are to search for an answer to the question </w:t>
      </w:r>
      <w:r w:rsidR="00102659">
        <w:rPr>
          <w:lang w:eastAsia="zh-CN"/>
        </w:rPr>
        <w:t>‘</w:t>
      </w:r>
      <w:r w:rsidR="004824F2">
        <w:rPr>
          <w:lang w:eastAsia="zh-CN"/>
        </w:rPr>
        <w:t>W</w:t>
      </w:r>
      <w:r>
        <w:rPr>
          <w:lang w:eastAsia="zh-CN"/>
        </w:rPr>
        <w:t xml:space="preserve">hat does </w:t>
      </w:r>
      <m:oMath>
        <m:func>
          <m:funcPr>
            <m:ctrlPr>
              <w:rPr>
                <w:rFonts w:ascii="Cambria Math" w:hAnsi="Cambria Math"/>
                <w:i/>
                <w:lang w:eastAsia="zh-CN"/>
              </w:rPr>
            </m:ctrlPr>
          </m:funcPr>
          <m:fName>
            <m:r>
              <m:rPr>
                <m:sty m:val="p"/>
              </m:rPr>
              <w:rPr>
                <w:rFonts w:ascii="Cambria Math" w:hAnsi="Cambria Math"/>
                <w:lang w:eastAsia="zh-CN"/>
              </w:rPr>
              <m:t>sin</m:t>
            </m:r>
          </m:fName>
          <m:e>
            <m:sSup>
              <m:sSupPr>
                <m:ctrlPr>
                  <w:rPr>
                    <w:rFonts w:ascii="Cambria Math" w:hAnsi="Cambria Math"/>
                    <w:i/>
                    <w:lang w:eastAsia="zh-CN"/>
                  </w:rPr>
                </m:ctrlPr>
              </m:sSupPr>
              <m:e>
                <m:r>
                  <w:rPr>
                    <w:rFonts w:ascii="Cambria Math" w:hAnsi="Cambria Math"/>
                    <w:lang w:eastAsia="zh-CN"/>
                  </w:rPr>
                  <m:t>30</m:t>
                </m:r>
              </m:e>
              <m:sup>
                <m:r>
                  <w:rPr>
                    <w:rFonts w:ascii="Cambria Math" w:hAnsi="Cambria Math"/>
                    <w:lang w:eastAsia="zh-CN"/>
                  </w:rPr>
                  <m:t>o</m:t>
                </m:r>
              </m:sup>
            </m:sSup>
          </m:e>
        </m:func>
      </m:oMath>
      <w:r>
        <w:rPr>
          <w:rFonts w:eastAsiaTheme="minorEastAsia"/>
          <w:lang w:eastAsia="zh-CN"/>
        </w:rPr>
        <w:t xml:space="preserve"> mean?</w:t>
      </w:r>
      <w:r w:rsidR="00102659">
        <w:rPr>
          <w:rFonts w:eastAsiaTheme="minorEastAsia"/>
          <w:lang w:eastAsia="zh-CN"/>
        </w:rPr>
        <w:t>’</w:t>
      </w:r>
      <w:r>
        <w:rPr>
          <w:rFonts w:eastAsiaTheme="minorEastAsia"/>
          <w:lang w:eastAsia="zh-CN"/>
        </w:rPr>
        <w:t xml:space="preserve"> </w:t>
      </w:r>
      <w:r w:rsidR="00F63D61">
        <w:rPr>
          <w:rFonts w:eastAsiaTheme="minorEastAsia"/>
          <w:lang w:eastAsia="zh-CN"/>
        </w:rPr>
        <w:t>by</w:t>
      </w:r>
      <w:r w:rsidR="00011156">
        <w:rPr>
          <w:rFonts w:eastAsiaTheme="minorEastAsia"/>
          <w:lang w:eastAsia="zh-CN"/>
        </w:rPr>
        <w:t xml:space="preserve"> following the steps in </w:t>
      </w:r>
      <w:r w:rsidR="00011156" w:rsidRPr="00B4295B">
        <w:rPr>
          <w:rFonts w:eastAsiaTheme="minorEastAsia"/>
          <w:lang w:eastAsia="zh-CN"/>
        </w:rPr>
        <w:t xml:space="preserve">Appendix </w:t>
      </w:r>
      <w:r w:rsidR="00023FE1" w:rsidRPr="00B4295B">
        <w:rPr>
          <w:rFonts w:eastAsiaTheme="minorEastAsia"/>
          <w:lang w:eastAsia="zh-CN"/>
        </w:rPr>
        <w:t>B</w:t>
      </w:r>
      <w:r w:rsidR="00AC4BF4">
        <w:rPr>
          <w:rFonts w:eastAsiaTheme="minorEastAsia"/>
          <w:lang w:eastAsia="zh-CN"/>
        </w:rPr>
        <w:t>.</w:t>
      </w:r>
    </w:p>
    <w:p w14:paraId="5CDF217E" w14:textId="29F5B068" w:rsidR="00271E1C" w:rsidRPr="00E07383" w:rsidRDefault="00AC4BF4" w:rsidP="00E07383">
      <w:pPr>
        <w:pStyle w:val="ListNumber"/>
        <w:rPr>
          <w:lang w:eastAsia="zh-CN"/>
        </w:rPr>
      </w:pPr>
      <w:r>
        <w:rPr>
          <w:lang w:eastAsia="zh-CN"/>
        </w:rPr>
        <w:t xml:space="preserve">Repeat this process to investigate the question </w:t>
      </w:r>
      <w:r w:rsidR="00102659">
        <w:rPr>
          <w:lang w:eastAsia="zh-CN"/>
        </w:rPr>
        <w:t>‘</w:t>
      </w:r>
      <w:r w:rsidR="004824F2">
        <w:rPr>
          <w:lang w:eastAsia="zh-CN"/>
        </w:rPr>
        <w:t>W</w:t>
      </w:r>
      <w:r>
        <w:rPr>
          <w:lang w:eastAsia="zh-CN"/>
        </w:rPr>
        <w:t xml:space="preserve">hat does </w:t>
      </w:r>
      <m:oMath>
        <m:func>
          <m:funcPr>
            <m:ctrlPr>
              <w:rPr>
                <w:rFonts w:ascii="Cambria Math" w:hAnsi="Cambria Math"/>
                <w:i/>
                <w:lang w:eastAsia="zh-CN"/>
              </w:rPr>
            </m:ctrlPr>
          </m:funcPr>
          <m:fName>
            <m:r>
              <m:rPr>
                <m:sty m:val="p"/>
              </m:rPr>
              <w:rPr>
                <w:rFonts w:ascii="Cambria Math" w:hAnsi="Cambria Math"/>
                <w:lang w:eastAsia="zh-CN"/>
              </w:rPr>
              <m:t>cos</m:t>
            </m:r>
          </m:fName>
          <m:e>
            <m:sSup>
              <m:sSupPr>
                <m:ctrlPr>
                  <w:rPr>
                    <w:rFonts w:ascii="Cambria Math" w:hAnsi="Cambria Math"/>
                    <w:i/>
                    <w:lang w:eastAsia="zh-CN"/>
                  </w:rPr>
                </m:ctrlPr>
              </m:sSupPr>
              <m:e>
                <m:r>
                  <w:rPr>
                    <w:rFonts w:ascii="Cambria Math" w:hAnsi="Cambria Math"/>
                    <w:lang w:eastAsia="zh-CN"/>
                  </w:rPr>
                  <m:t>60</m:t>
                </m:r>
              </m:e>
              <m:sup>
                <m:r>
                  <w:rPr>
                    <w:rFonts w:ascii="Cambria Math" w:hAnsi="Cambria Math"/>
                    <w:lang w:eastAsia="zh-CN"/>
                  </w:rPr>
                  <m:t>o</m:t>
                </m:r>
              </m:sup>
            </m:sSup>
          </m:e>
        </m:func>
        <m:r>
          <w:rPr>
            <w:rFonts w:ascii="Cambria Math" w:hAnsi="Cambria Math"/>
            <w:lang w:eastAsia="zh-CN"/>
          </w:rPr>
          <m:t xml:space="preserve"> </m:t>
        </m:r>
      </m:oMath>
      <w:r>
        <w:rPr>
          <w:rFonts w:eastAsiaTheme="minorEastAsia"/>
          <w:lang w:eastAsia="zh-CN"/>
        </w:rPr>
        <w:t>mean?</w:t>
      </w:r>
      <w:r w:rsidR="00102659">
        <w:rPr>
          <w:rFonts w:eastAsiaTheme="minorEastAsia"/>
          <w:lang w:eastAsia="zh-CN"/>
        </w:rPr>
        <w:t>’</w:t>
      </w:r>
      <w:r>
        <w:rPr>
          <w:rFonts w:eastAsiaTheme="minorEastAsia"/>
          <w:lang w:eastAsia="zh-CN"/>
        </w:rPr>
        <w:t xml:space="preserve">, also using </w:t>
      </w:r>
      <w:r w:rsidRPr="00B4295B">
        <w:rPr>
          <w:rFonts w:eastAsiaTheme="minorEastAsia"/>
          <w:lang w:eastAsia="zh-CN"/>
        </w:rPr>
        <w:t xml:space="preserve">Appendix </w:t>
      </w:r>
      <w:r w:rsidR="00023FE1" w:rsidRPr="00B4295B">
        <w:rPr>
          <w:rFonts w:eastAsiaTheme="minorEastAsia"/>
          <w:lang w:eastAsia="zh-CN"/>
        </w:rPr>
        <w:t>B</w:t>
      </w:r>
      <w:r>
        <w:rPr>
          <w:rFonts w:eastAsiaTheme="minorEastAsia"/>
          <w:lang w:eastAsia="zh-CN"/>
        </w:rPr>
        <w:t>.</w:t>
      </w:r>
    </w:p>
    <w:p w14:paraId="315670BD" w14:textId="62C7FDD3" w:rsidR="00A51D10" w:rsidRDefault="00A51D10" w:rsidP="00A51D10">
      <w:pPr>
        <w:pStyle w:val="Heading3"/>
      </w:pPr>
      <w:r>
        <w:t>Summarise</w:t>
      </w:r>
    </w:p>
    <w:p w14:paraId="3F27EA0A" w14:textId="6BC708BE" w:rsidR="00102659" w:rsidRPr="00102659" w:rsidRDefault="00A43D73" w:rsidP="00102659">
      <w:pPr>
        <w:pStyle w:val="ListNumber"/>
        <w:numPr>
          <w:ilvl w:val="0"/>
          <w:numId w:val="24"/>
        </w:numPr>
      </w:pPr>
      <w:r w:rsidRPr="00102659">
        <w:t xml:space="preserve">Demonstrate to students how to write </w:t>
      </w:r>
      <w:r w:rsidR="00FE3AAE">
        <w:t>6</w:t>
      </w:r>
      <w:r w:rsidR="00FE3AAE" w:rsidRPr="00102659">
        <w:t xml:space="preserve"> </w:t>
      </w:r>
      <w:r w:rsidRPr="00102659">
        <w:t xml:space="preserve">ratios for a given triangle by constructing a right-angled triangle, measuring all angles and </w:t>
      </w:r>
      <w:proofErr w:type="gramStart"/>
      <w:r w:rsidRPr="00102659">
        <w:t>sides</w:t>
      </w:r>
      <w:proofErr w:type="gramEnd"/>
      <w:r w:rsidRPr="00102659">
        <w:t xml:space="preserve"> and recording them. </w:t>
      </w:r>
      <w:r w:rsidR="00F14472" w:rsidRPr="00102659">
        <w:t>This is in the associated PowerPoint.</w:t>
      </w:r>
    </w:p>
    <w:p w14:paraId="15B0D1DC" w14:textId="4D4C11E3" w:rsidR="003711A2" w:rsidRDefault="00FD0D32" w:rsidP="003711A2">
      <w:pPr>
        <w:pStyle w:val="ListNumber"/>
        <w:numPr>
          <w:ilvl w:val="0"/>
          <w:numId w:val="0"/>
        </w:numPr>
        <w:ind w:left="567"/>
      </w:pPr>
      <w:r w:rsidRPr="00102659">
        <w:t>For example:</w:t>
      </w:r>
    </w:p>
    <w:p w14:paraId="7A5721B4" w14:textId="099F0EF7" w:rsidR="00F75B46" w:rsidRPr="00102659" w:rsidRDefault="00F75B46" w:rsidP="0075695E">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 a right-angled triangle with acute angles</w:t>
      </w:r>
    </w:p>
    <w:p w14:paraId="28D4298C" w14:textId="78767FB5" w:rsidR="00673D1B" w:rsidRDefault="00A94DEE" w:rsidP="00A94DEE">
      <w:pPr>
        <w:pStyle w:val="ListNumber"/>
        <w:numPr>
          <w:ilvl w:val="0"/>
          <w:numId w:val="0"/>
        </w:numPr>
        <w:ind w:left="652"/>
        <w:rPr>
          <w:lang w:eastAsia="zh-CN"/>
        </w:rPr>
      </w:pPr>
      <w:r>
        <w:rPr>
          <w:noProof/>
        </w:rPr>
        <w:drawing>
          <wp:inline distT="0" distB="0" distL="0" distR="0" wp14:anchorId="7E8959F3" wp14:editId="637AF678">
            <wp:extent cx="2913224" cy="2226366"/>
            <wp:effectExtent l="0" t="0" r="1905" b="2540"/>
            <wp:docPr id="15" name="Picture 15" descr="A right angled triangle with acute angles labelled as 36.9 degrees and 53.1 degrees. The hypotenuse is labelled as 5 and the two remaining sides are labelled 3 and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19926" cy="2231488"/>
                    </a:xfrm>
                    <a:prstGeom prst="rect">
                      <a:avLst/>
                    </a:prstGeom>
                  </pic:spPr>
                </pic:pic>
              </a:graphicData>
            </a:graphic>
          </wp:inline>
        </w:drawing>
      </w:r>
    </w:p>
    <w:p w14:paraId="4BFFE451" w14:textId="1FB7569D" w:rsidR="00102659" w:rsidRPr="00102659" w:rsidRDefault="00673D1B" w:rsidP="00102659">
      <w:pPr>
        <w:pStyle w:val="ListNumber"/>
      </w:pPr>
      <w:r w:rsidRPr="00102659">
        <w:t xml:space="preserve">Write the </w:t>
      </w:r>
      <w:r w:rsidR="00700C89">
        <w:t>6</w:t>
      </w:r>
      <w:r w:rsidR="00700C89" w:rsidRPr="00102659">
        <w:t xml:space="preserve"> </w:t>
      </w:r>
      <w:r w:rsidRPr="00102659">
        <w:t>trigonometric ratios we can see in this triangle:</w:t>
      </w:r>
    </w:p>
    <w:p w14:paraId="28FC318A" w14:textId="522DAC4A" w:rsidR="00A43D73" w:rsidRPr="00673D1B" w:rsidRDefault="00FD0D32" w:rsidP="00102659">
      <w:pPr>
        <w:pStyle w:val="ListNumber"/>
        <w:numPr>
          <w:ilvl w:val="0"/>
          <w:numId w:val="0"/>
        </w:numPr>
        <w:spacing w:line="480" w:lineRule="auto"/>
        <w:ind w:left="652"/>
        <w:rPr>
          <w:lang w:eastAsia="zh-CN"/>
        </w:rPr>
      </w:pPr>
      <w:r>
        <w:rPr>
          <w:lang w:eastAsia="zh-CN"/>
        </w:rPr>
        <w:t>For example:</w:t>
      </w:r>
      <w:r w:rsidR="00673D1B">
        <w:rPr>
          <w:lang w:eastAsia="zh-CN"/>
        </w:rPr>
        <w:br/>
      </w:r>
      <m:oMathPara>
        <m:oMathParaPr>
          <m:jc m:val="left"/>
        </m:oMathParaPr>
        <m:oMath>
          <m:func>
            <m:funcPr>
              <m:ctrlPr>
                <w:rPr>
                  <w:rFonts w:ascii="Cambria Math" w:hAnsi="Cambria Math"/>
                  <w:i/>
                  <w:lang w:eastAsia="zh-CN"/>
                </w:rPr>
              </m:ctrlPr>
            </m:funcPr>
            <m:fName>
              <m:r>
                <m:rPr>
                  <m:sty m:val="p"/>
                </m:rPr>
                <w:rPr>
                  <w:rFonts w:ascii="Cambria Math" w:hAnsi="Cambria Math"/>
                  <w:lang w:eastAsia="zh-CN"/>
                </w:rPr>
                <m:t>sin</m:t>
              </m:r>
            </m:fName>
            <m:e>
              <m:sSup>
                <m:sSupPr>
                  <m:ctrlPr>
                    <w:rPr>
                      <w:rFonts w:ascii="Cambria Math" w:hAnsi="Cambria Math"/>
                      <w:i/>
                      <w:lang w:eastAsia="zh-CN"/>
                    </w:rPr>
                  </m:ctrlPr>
                </m:sSupPr>
                <m:e>
                  <m:r>
                    <w:rPr>
                      <w:rFonts w:ascii="Cambria Math" w:hAnsi="Cambria Math"/>
                      <w:lang w:eastAsia="zh-CN"/>
                    </w:rPr>
                    <m:t>36.9</m:t>
                  </m:r>
                </m:e>
                <m:sup>
                  <m:r>
                    <w:rPr>
                      <w:rFonts w:ascii="Cambria Math" w:hAnsi="Cambria Math"/>
                      <w:lang w:eastAsia="zh-CN"/>
                    </w:rPr>
                    <m:t>o</m:t>
                  </m:r>
                </m:sup>
              </m:sSup>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3</m:t>
              </m:r>
            </m:num>
            <m:den>
              <m:r>
                <w:rPr>
                  <w:rFonts w:ascii="Cambria Math" w:hAnsi="Cambria Math"/>
                  <w:lang w:eastAsia="zh-CN"/>
                </w:rPr>
                <m:t>5</m:t>
              </m:r>
            </m:den>
          </m:f>
          <m:r>
            <m:rPr>
              <m:sty m:val="p"/>
            </m:rPr>
            <w:rPr>
              <w:rFonts w:ascii="Cambria Math" w:hAnsi="Cambria Math"/>
              <w:lang w:eastAsia="zh-CN"/>
            </w:rPr>
            <w:br/>
          </m:r>
        </m:oMath>
        <m:oMath>
          <m:func>
            <m:funcPr>
              <m:ctrlPr>
                <w:rPr>
                  <w:rFonts w:ascii="Cambria Math" w:hAnsi="Cambria Math"/>
                  <w:i/>
                  <w:lang w:eastAsia="zh-CN"/>
                </w:rPr>
              </m:ctrlPr>
            </m:funcPr>
            <m:fName>
              <m:r>
                <m:rPr>
                  <m:sty m:val="p"/>
                </m:rPr>
                <w:rPr>
                  <w:rFonts w:ascii="Cambria Math" w:hAnsi="Cambria Math"/>
                  <w:lang w:eastAsia="zh-CN"/>
                </w:rPr>
                <m:t>cos</m:t>
              </m:r>
            </m:fName>
            <m:e>
              <m:sSup>
                <m:sSupPr>
                  <m:ctrlPr>
                    <w:rPr>
                      <w:rFonts w:ascii="Cambria Math" w:hAnsi="Cambria Math"/>
                      <w:i/>
                      <w:lang w:eastAsia="zh-CN"/>
                    </w:rPr>
                  </m:ctrlPr>
                </m:sSupPr>
                <m:e>
                  <m:r>
                    <w:rPr>
                      <w:rFonts w:ascii="Cambria Math" w:hAnsi="Cambria Math"/>
                      <w:lang w:eastAsia="zh-CN"/>
                    </w:rPr>
                    <m:t>36.9</m:t>
                  </m:r>
                </m:e>
                <m:sup>
                  <m:r>
                    <w:rPr>
                      <w:rFonts w:ascii="Cambria Math" w:hAnsi="Cambria Math"/>
                      <w:lang w:eastAsia="zh-CN"/>
                    </w:rPr>
                    <m:t>o</m:t>
                  </m:r>
                </m:sup>
              </m:sSup>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4</m:t>
              </m:r>
            </m:num>
            <m:den>
              <m:r>
                <w:rPr>
                  <w:rFonts w:ascii="Cambria Math" w:hAnsi="Cambria Math"/>
                  <w:lang w:eastAsia="zh-CN"/>
                </w:rPr>
                <m:t>5</m:t>
              </m:r>
            </m:den>
          </m:f>
          <m:r>
            <m:rPr>
              <m:sty m:val="p"/>
            </m:rPr>
            <w:rPr>
              <w:rFonts w:ascii="Cambria Math" w:hAnsi="Cambria Math"/>
              <w:lang w:eastAsia="zh-CN"/>
            </w:rPr>
            <w:br/>
          </m:r>
        </m:oMath>
        <m:oMath>
          <m:func>
            <m:funcPr>
              <m:ctrlPr>
                <w:rPr>
                  <w:rFonts w:ascii="Cambria Math" w:hAnsi="Cambria Math"/>
                  <w:i/>
                  <w:lang w:eastAsia="zh-CN"/>
                </w:rPr>
              </m:ctrlPr>
            </m:funcPr>
            <m:fName>
              <m:r>
                <m:rPr>
                  <m:sty m:val="p"/>
                </m:rPr>
                <w:rPr>
                  <w:rFonts w:ascii="Cambria Math" w:hAnsi="Cambria Math"/>
                  <w:lang w:eastAsia="zh-CN"/>
                </w:rPr>
                <m:t>tan</m:t>
              </m:r>
            </m:fName>
            <m:e>
              <m:sSup>
                <m:sSupPr>
                  <m:ctrlPr>
                    <w:rPr>
                      <w:rFonts w:ascii="Cambria Math" w:hAnsi="Cambria Math"/>
                      <w:i/>
                      <w:lang w:eastAsia="zh-CN"/>
                    </w:rPr>
                  </m:ctrlPr>
                </m:sSupPr>
                <m:e>
                  <m:r>
                    <w:rPr>
                      <w:rFonts w:ascii="Cambria Math" w:hAnsi="Cambria Math"/>
                      <w:lang w:eastAsia="zh-CN"/>
                    </w:rPr>
                    <m:t>36.9</m:t>
                  </m:r>
                </m:e>
                <m:sup>
                  <m:r>
                    <w:rPr>
                      <w:rFonts w:ascii="Cambria Math" w:hAnsi="Cambria Math"/>
                      <w:lang w:eastAsia="zh-CN"/>
                    </w:rPr>
                    <m:t>o</m:t>
                  </m:r>
                </m:sup>
              </m:sSup>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3</m:t>
              </m:r>
            </m:num>
            <m:den>
              <m:r>
                <w:rPr>
                  <w:rFonts w:ascii="Cambria Math" w:hAnsi="Cambria Math"/>
                  <w:lang w:eastAsia="zh-CN"/>
                </w:rPr>
                <m:t>4</m:t>
              </m:r>
            </m:den>
          </m:f>
          <m:r>
            <m:rPr>
              <m:sty m:val="p"/>
            </m:rPr>
            <w:rPr>
              <w:rFonts w:ascii="Cambria Math" w:hAnsi="Cambria Math"/>
              <w:lang w:eastAsia="zh-CN"/>
            </w:rPr>
            <w:br/>
          </m:r>
        </m:oMath>
        <m:oMath>
          <m:func>
            <m:funcPr>
              <m:ctrlPr>
                <w:rPr>
                  <w:rFonts w:ascii="Cambria Math" w:hAnsi="Cambria Math"/>
                  <w:i/>
                  <w:lang w:eastAsia="zh-CN"/>
                </w:rPr>
              </m:ctrlPr>
            </m:funcPr>
            <m:fName>
              <m:r>
                <m:rPr>
                  <m:sty m:val="p"/>
                </m:rPr>
                <w:rPr>
                  <w:rFonts w:ascii="Cambria Math" w:hAnsi="Cambria Math"/>
                  <w:lang w:eastAsia="zh-CN"/>
                </w:rPr>
                <m:t>sin</m:t>
              </m:r>
            </m:fName>
            <m:e>
              <m:sSup>
                <m:sSupPr>
                  <m:ctrlPr>
                    <w:rPr>
                      <w:rFonts w:ascii="Cambria Math" w:hAnsi="Cambria Math"/>
                      <w:i/>
                      <w:lang w:eastAsia="zh-CN"/>
                    </w:rPr>
                  </m:ctrlPr>
                </m:sSupPr>
                <m:e>
                  <m:r>
                    <w:rPr>
                      <w:rFonts w:ascii="Cambria Math" w:hAnsi="Cambria Math"/>
                      <w:lang w:eastAsia="zh-CN"/>
                    </w:rPr>
                    <m:t>53.1</m:t>
                  </m:r>
                </m:e>
                <m:sup>
                  <m:r>
                    <w:rPr>
                      <w:rFonts w:ascii="Cambria Math" w:hAnsi="Cambria Math"/>
                      <w:lang w:eastAsia="zh-CN"/>
                    </w:rPr>
                    <m:t>o</m:t>
                  </m:r>
                </m:sup>
              </m:sSup>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4</m:t>
              </m:r>
            </m:num>
            <m:den>
              <m:r>
                <w:rPr>
                  <w:rFonts w:ascii="Cambria Math" w:hAnsi="Cambria Math"/>
                  <w:lang w:eastAsia="zh-CN"/>
                </w:rPr>
                <m:t>5</m:t>
              </m:r>
            </m:den>
          </m:f>
          <m:r>
            <m:rPr>
              <m:sty m:val="p"/>
            </m:rPr>
            <w:rPr>
              <w:rFonts w:ascii="Cambria Math" w:hAnsi="Cambria Math"/>
              <w:lang w:eastAsia="zh-CN"/>
            </w:rPr>
            <w:br/>
          </m:r>
        </m:oMath>
        <m:oMath>
          <m:func>
            <m:funcPr>
              <m:ctrlPr>
                <w:rPr>
                  <w:rFonts w:ascii="Cambria Math" w:hAnsi="Cambria Math"/>
                  <w:i/>
                  <w:lang w:eastAsia="zh-CN"/>
                </w:rPr>
              </m:ctrlPr>
            </m:funcPr>
            <m:fName>
              <m:r>
                <m:rPr>
                  <m:sty m:val="p"/>
                </m:rPr>
                <w:rPr>
                  <w:rFonts w:ascii="Cambria Math" w:hAnsi="Cambria Math"/>
                  <w:lang w:eastAsia="zh-CN"/>
                </w:rPr>
                <m:t>cos</m:t>
              </m:r>
            </m:fName>
            <m:e>
              <m:sSup>
                <m:sSupPr>
                  <m:ctrlPr>
                    <w:rPr>
                      <w:rFonts w:ascii="Cambria Math" w:hAnsi="Cambria Math"/>
                      <w:i/>
                      <w:lang w:eastAsia="zh-CN"/>
                    </w:rPr>
                  </m:ctrlPr>
                </m:sSupPr>
                <m:e>
                  <m:r>
                    <w:rPr>
                      <w:rFonts w:ascii="Cambria Math" w:hAnsi="Cambria Math"/>
                      <w:lang w:eastAsia="zh-CN"/>
                    </w:rPr>
                    <m:t>53.1</m:t>
                  </m:r>
                </m:e>
                <m:sup>
                  <m:r>
                    <w:rPr>
                      <w:rFonts w:ascii="Cambria Math" w:hAnsi="Cambria Math"/>
                      <w:lang w:eastAsia="zh-CN"/>
                    </w:rPr>
                    <m:t>o</m:t>
                  </m:r>
                </m:sup>
              </m:sSup>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3</m:t>
              </m:r>
            </m:num>
            <m:den>
              <m:r>
                <w:rPr>
                  <w:rFonts w:ascii="Cambria Math" w:hAnsi="Cambria Math"/>
                  <w:lang w:eastAsia="zh-CN"/>
                </w:rPr>
                <m:t>5</m:t>
              </m:r>
            </m:den>
          </m:f>
          <m:r>
            <m:rPr>
              <m:sty m:val="p"/>
            </m:rPr>
            <w:rPr>
              <w:rFonts w:ascii="Cambria Math" w:hAnsi="Cambria Math"/>
              <w:lang w:eastAsia="zh-CN"/>
            </w:rPr>
            <w:br/>
          </m:r>
        </m:oMath>
        <m:oMath>
          <m:func>
            <m:funcPr>
              <m:ctrlPr>
                <w:rPr>
                  <w:rFonts w:ascii="Cambria Math" w:hAnsi="Cambria Math"/>
                  <w:i/>
                  <w:lang w:eastAsia="zh-CN"/>
                </w:rPr>
              </m:ctrlPr>
            </m:funcPr>
            <m:fName>
              <m:r>
                <m:rPr>
                  <m:sty m:val="p"/>
                </m:rPr>
                <w:rPr>
                  <w:rFonts w:ascii="Cambria Math" w:hAnsi="Cambria Math"/>
                  <w:lang w:eastAsia="zh-CN"/>
                </w:rPr>
                <m:t>tan</m:t>
              </m:r>
            </m:fName>
            <m:e>
              <m:sSup>
                <m:sSupPr>
                  <m:ctrlPr>
                    <w:rPr>
                      <w:rFonts w:ascii="Cambria Math" w:hAnsi="Cambria Math"/>
                      <w:i/>
                      <w:lang w:eastAsia="zh-CN"/>
                    </w:rPr>
                  </m:ctrlPr>
                </m:sSupPr>
                <m:e>
                  <m:r>
                    <w:rPr>
                      <w:rFonts w:ascii="Cambria Math" w:hAnsi="Cambria Math"/>
                      <w:lang w:eastAsia="zh-CN"/>
                    </w:rPr>
                    <m:t>53.1</m:t>
                  </m:r>
                </m:e>
                <m:sup>
                  <m:r>
                    <w:rPr>
                      <w:rFonts w:ascii="Cambria Math" w:hAnsi="Cambria Math"/>
                      <w:lang w:eastAsia="zh-CN"/>
                    </w:rPr>
                    <m:t>o</m:t>
                  </m:r>
                </m:sup>
              </m:sSup>
            </m:e>
          </m:func>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4</m:t>
              </m:r>
            </m:num>
            <m:den>
              <m:r>
                <w:rPr>
                  <w:rFonts w:ascii="Cambria Math" w:hAnsi="Cambria Math"/>
                  <w:lang w:eastAsia="zh-CN"/>
                </w:rPr>
                <m:t>3</m:t>
              </m:r>
            </m:den>
          </m:f>
        </m:oMath>
      </m:oMathPara>
    </w:p>
    <w:p w14:paraId="105D2B4C" w14:textId="01A4C059" w:rsidR="00673D1B" w:rsidRPr="00102659" w:rsidRDefault="00673D1B" w:rsidP="00102659">
      <w:pPr>
        <w:pStyle w:val="ListNumber"/>
      </w:pPr>
      <w:r w:rsidRPr="00102659">
        <w:lastRenderedPageBreak/>
        <w:t>Ask students what they notice and what they wonder</w:t>
      </w:r>
      <w:r w:rsidR="00AC4BF4" w:rsidRPr="00102659">
        <w:t xml:space="preserve"> (</w:t>
      </w:r>
      <w:hyperlink r:id="rId29" w:tgtFrame="_blank" w:history="1">
        <w:r w:rsidR="00AC4BF4" w:rsidRPr="00102659">
          <w:rPr>
            <w:rStyle w:val="Hyperlink"/>
          </w:rPr>
          <w:t>bit.ly/noticewonderstrategy</w:t>
        </w:r>
      </w:hyperlink>
      <w:r w:rsidR="00AC4BF4" w:rsidRPr="00102659">
        <w:t>)</w:t>
      </w:r>
      <w:r w:rsidRPr="00102659">
        <w:t xml:space="preserve"> about the ratios they have found.</w:t>
      </w:r>
    </w:p>
    <w:p w14:paraId="7519FA15" w14:textId="1B9298F4" w:rsidR="00673D1B" w:rsidRPr="00102659" w:rsidRDefault="00673D1B" w:rsidP="00102659">
      <w:pPr>
        <w:pStyle w:val="ListNumber"/>
      </w:pPr>
      <w:r w:rsidRPr="00102659">
        <w:t xml:space="preserve">Have students construct one final right-angled triangle, measuring side lengths and angles, and write all </w:t>
      </w:r>
      <w:r w:rsidR="00FE3AAE">
        <w:t>6</w:t>
      </w:r>
      <w:r w:rsidR="00FE3AAE" w:rsidRPr="00102659">
        <w:t xml:space="preserve"> </w:t>
      </w:r>
      <w:r w:rsidRPr="00102659">
        <w:t>ratios. Are the things they noticed in your example true of every triangle?</w:t>
      </w:r>
    </w:p>
    <w:p w14:paraId="5A8165EE" w14:textId="77777777" w:rsidR="00271E1C" w:rsidRPr="00102659" w:rsidRDefault="00271E1C" w:rsidP="00102659">
      <w:r>
        <w:br w:type="page"/>
      </w:r>
    </w:p>
    <w:p w14:paraId="663E78C9" w14:textId="7929FAA4" w:rsidR="00A51D10" w:rsidRPr="00A43D73" w:rsidRDefault="00A51D10" w:rsidP="00A51D10">
      <w:pPr>
        <w:pStyle w:val="Heading3"/>
      </w:pPr>
      <w:r w:rsidRPr="00A43D73">
        <w:lastRenderedPageBreak/>
        <w:t>Apply</w:t>
      </w:r>
    </w:p>
    <w:p w14:paraId="5386D8D0" w14:textId="535E546F" w:rsidR="00A43D73" w:rsidRPr="00A43D73" w:rsidRDefault="00A43D73" w:rsidP="00A43D73">
      <w:pPr>
        <w:rPr>
          <w:lang w:eastAsia="zh-CN"/>
        </w:rPr>
      </w:pPr>
      <w:r w:rsidRPr="00A43D73">
        <w:rPr>
          <w:lang w:eastAsia="zh-CN"/>
        </w:rPr>
        <w:t>Students explore methods of remembering the trigonometric ratios.</w:t>
      </w:r>
    </w:p>
    <w:p w14:paraId="0BB0FCC0" w14:textId="2B020B46" w:rsidR="0060732B" w:rsidRPr="00906245" w:rsidRDefault="00A43D73" w:rsidP="00906245">
      <w:pPr>
        <w:pStyle w:val="ListNumber"/>
        <w:numPr>
          <w:ilvl w:val="0"/>
          <w:numId w:val="25"/>
        </w:numPr>
      </w:pPr>
      <w:r w:rsidRPr="00906245">
        <w:t>Go to</w:t>
      </w:r>
      <w:r w:rsidR="000069EE" w:rsidRPr="00906245">
        <w:t xml:space="preserve"> Crystal clear</w:t>
      </w:r>
      <w:r w:rsidR="00C44566" w:rsidRPr="00906245">
        <w:t xml:space="preserve"> mathematics site, How to </w:t>
      </w:r>
      <w:r w:rsidR="00650D04" w:rsidRPr="00906245">
        <w:t>remember</w:t>
      </w:r>
      <w:r w:rsidR="00C44566" w:rsidRPr="00906245">
        <w:t xml:space="preserve"> SOHCAHTOA (</w:t>
      </w:r>
      <w:hyperlink r:id="rId30" w:anchor=":~:text=Some%20Old%20Hairy%20Camels%20Are,Always%20Hear%20Their%20Owner%20Approach" w:history="1">
        <w:r w:rsidR="00C44566" w:rsidRPr="00906245">
          <w:rPr>
            <w:rStyle w:val="Hyperlink"/>
          </w:rPr>
          <w:t>bit.ly/howtoremembersohcahtoa</w:t>
        </w:r>
      </w:hyperlink>
      <w:r w:rsidR="00C44566" w:rsidRPr="00906245">
        <w:t>)</w:t>
      </w:r>
      <w:r w:rsidRPr="00906245">
        <w:t xml:space="preserve"> and watch the videos at the bottom of the page.</w:t>
      </w:r>
    </w:p>
    <w:p w14:paraId="1FA51F62" w14:textId="720C905E" w:rsidR="00A43D73" w:rsidRPr="00906245" w:rsidRDefault="00A43D73" w:rsidP="00906245">
      <w:pPr>
        <w:pStyle w:val="ListNumber"/>
      </w:pPr>
      <w:r w:rsidRPr="00906245">
        <w:t xml:space="preserve">Students read the phrases used in point 3 to make SOHCAHTOA an acronym and select their favourite </w:t>
      </w:r>
      <w:r w:rsidR="00A135B7">
        <w:t>3</w:t>
      </w:r>
      <w:r w:rsidRPr="00906245">
        <w:t>.</w:t>
      </w:r>
    </w:p>
    <w:p w14:paraId="6F399CE4" w14:textId="127CEA9E" w:rsidR="00906245" w:rsidRDefault="00A43D73" w:rsidP="00906245">
      <w:pPr>
        <w:pStyle w:val="ListNumber"/>
      </w:pPr>
      <w:r w:rsidRPr="00906245">
        <w:t>Students develop their own phrase to remember SOHCAHTOA.</w:t>
      </w:r>
    </w:p>
    <w:p w14:paraId="5D4175E8" w14:textId="77777777" w:rsidR="00906245" w:rsidRDefault="00906245">
      <w:pPr>
        <w:spacing w:line="276" w:lineRule="auto"/>
      </w:pPr>
      <w:r>
        <w:br w:type="page"/>
      </w:r>
    </w:p>
    <w:p w14:paraId="3F8DC8BC" w14:textId="02BCC9A0" w:rsidR="006A3193" w:rsidRDefault="006A3193" w:rsidP="00906245">
      <w:pPr>
        <w:pStyle w:val="Heading2"/>
      </w:pPr>
      <w:r w:rsidRPr="00C36B10">
        <w:lastRenderedPageBreak/>
        <w:t>Assessment and Differentiation</w:t>
      </w:r>
    </w:p>
    <w:p w14:paraId="1F8F9F0C" w14:textId="1796BB6D" w:rsidR="00906245" w:rsidRDefault="00906245" w:rsidP="00906245">
      <w:pPr>
        <w:pStyle w:val="Heading3"/>
      </w:pPr>
      <w:r>
        <w:t>Suggested opportunities for differentiation</w:t>
      </w:r>
    </w:p>
    <w:p w14:paraId="0CA0FEE5" w14:textId="7093AA50" w:rsidR="00906245" w:rsidRDefault="00906245" w:rsidP="00906245">
      <w:pPr>
        <w:rPr>
          <w:rStyle w:val="Strong"/>
        </w:rPr>
      </w:pPr>
      <w:r>
        <w:rPr>
          <w:rStyle w:val="Strong"/>
        </w:rPr>
        <w:t>Launch</w:t>
      </w:r>
    </w:p>
    <w:p w14:paraId="3B3347BA" w14:textId="77777777" w:rsidR="00906245" w:rsidRPr="00EF4F92" w:rsidRDefault="00906245" w:rsidP="00EF4F92">
      <w:pPr>
        <w:pStyle w:val="ListBullet"/>
      </w:pPr>
      <w:r w:rsidRPr="00EF4F92">
        <w:t>The Desmos graph can make the measurements more or less accurate, depending on the needs of students, by dragging the slider on the screen. The graph also allows students to turn off irrelevant sides to reduce cognitive load.</w:t>
      </w:r>
    </w:p>
    <w:p w14:paraId="39537D11" w14:textId="4833899B" w:rsidR="00906245" w:rsidRPr="00EF4F92" w:rsidRDefault="00906245" w:rsidP="00EF4F92">
      <w:pPr>
        <w:pStyle w:val="ListBullet"/>
      </w:pPr>
      <w:r w:rsidRPr="00EF4F92">
        <w:t xml:space="preserve">When students are engaging in a </w:t>
      </w:r>
      <w:hyperlink r:id="rId31" w:history="1">
        <w:r w:rsidR="00326005" w:rsidRPr="002C5749">
          <w:rPr>
            <w:rStyle w:val="Hyperlink"/>
            <w:lang w:eastAsia="zh-CN"/>
          </w:rPr>
          <w:t>Think-Pair-Share</w:t>
        </w:r>
      </w:hyperlink>
      <w:r w:rsidRPr="00EF4F92">
        <w:t xml:space="preserve"> to answer the questions in </w:t>
      </w:r>
      <w:hyperlink w:anchor="_Appendix_A" w:history="1">
        <w:r w:rsidRPr="00B4295B">
          <w:rPr>
            <w:rStyle w:val="Hyperlink"/>
          </w:rPr>
          <w:t>Appendix A</w:t>
        </w:r>
      </w:hyperlink>
      <w:r w:rsidRPr="00EF4F92">
        <w:t xml:space="preserve">, the teacher has the option of directing student attention to the ratios that have the most obvious relationships, being </w:t>
      </w:r>
      <w:r w:rsidRPr="00D3621E">
        <w:t>sin30, cos60 and tan45</w:t>
      </w:r>
      <w:r w:rsidRPr="00EF4F92">
        <w:t>.</w:t>
      </w:r>
    </w:p>
    <w:p w14:paraId="6BF9B898" w14:textId="1189F51B" w:rsidR="00906245" w:rsidRDefault="00906245" w:rsidP="00906245">
      <w:pPr>
        <w:rPr>
          <w:rStyle w:val="Strong"/>
        </w:rPr>
      </w:pPr>
      <w:r>
        <w:rPr>
          <w:rStyle w:val="Strong"/>
        </w:rPr>
        <w:t>Explore</w:t>
      </w:r>
    </w:p>
    <w:p w14:paraId="3C448EA8" w14:textId="77777777" w:rsidR="00906245" w:rsidRPr="00EF4F92" w:rsidRDefault="00906245" w:rsidP="00EF4F92">
      <w:pPr>
        <w:pStyle w:val="ListBullet"/>
      </w:pPr>
      <w:r w:rsidRPr="00EF4F92">
        <w:t>The Desmos activity allows an exploration for students that does not depend on their skills with measuring tools.</w:t>
      </w:r>
    </w:p>
    <w:p w14:paraId="748CC36E" w14:textId="3E3175FA" w:rsidR="00906245" w:rsidRPr="00EF4F92" w:rsidRDefault="00000000" w:rsidP="00EF4F92">
      <w:pPr>
        <w:pStyle w:val="ListBullet"/>
      </w:pPr>
      <w:hyperlink w:anchor="_Appendix_B" w:history="1">
        <w:r w:rsidR="00906245" w:rsidRPr="00B4295B">
          <w:rPr>
            <w:rStyle w:val="Hyperlink"/>
          </w:rPr>
          <w:t>Appendix B</w:t>
        </w:r>
      </w:hyperlink>
      <w:r w:rsidR="00906245" w:rsidRPr="00EF4F92">
        <w:t xml:space="preserve"> provides a scaffold for students to develop a hypothesis and interrogate. Challenge students to complete this starting with </w:t>
      </w:r>
      <w:r w:rsidR="00906245" w:rsidRPr="00777434">
        <w:rPr>
          <w:i/>
          <w:iCs/>
        </w:rPr>
        <w:t>cos60</w:t>
      </w:r>
      <w:r w:rsidR="00906245" w:rsidRPr="00EF4F92">
        <w:t>, without the second page of the Appendix as a scaffold.</w:t>
      </w:r>
    </w:p>
    <w:p w14:paraId="6A48DA1E" w14:textId="4704762E" w:rsidR="00B864DF" w:rsidRDefault="00EF4F92" w:rsidP="00EF4F92">
      <w:pPr>
        <w:pStyle w:val="Heading3"/>
      </w:pPr>
      <w:r>
        <w:t>Suggested opportunities for assessment</w:t>
      </w:r>
    </w:p>
    <w:p w14:paraId="1136A2B2" w14:textId="1CDBA15D" w:rsidR="00EF4F92" w:rsidRDefault="00EF4F92" w:rsidP="00EF4F92">
      <w:pPr>
        <w:rPr>
          <w:rStyle w:val="Strong"/>
        </w:rPr>
      </w:pPr>
      <w:r>
        <w:rPr>
          <w:rStyle w:val="Strong"/>
        </w:rPr>
        <w:t>Explore</w:t>
      </w:r>
    </w:p>
    <w:p w14:paraId="05AF7F46" w14:textId="77777777" w:rsidR="00EF4F92" w:rsidRPr="007577E4" w:rsidRDefault="00EF4F92" w:rsidP="007577E4">
      <w:pPr>
        <w:pStyle w:val="ListBullet"/>
      </w:pPr>
      <w:r w:rsidRPr="007577E4">
        <w:t>The Desmos activity allows the teacher to record, review, and give feedback on student responses. There are multiple opportunities for students to express their thinking.</w:t>
      </w:r>
    </w:p>
    <w:p w14:paraId="38B2594D" w14:textId="6FE935C9" w:rsidR="00EF4F92" w:rsidRPr="007577E4" w:rsidRDefault="00EF4F92" w:rsidP="007577E4">
      <w:pPr>
        <w:pStyle w:val="ListBullet"/>
      </w:pPr>
      <w:r w:rsidRPr="007577E4">
        <w:t xml:space="preserve">The investigation provides opportunities for students to explain their thinking and use evidence to support an argument. Review student responses to determine if they understand and appreciate a second example (step </w:t>
      </w:r>
      <w:r w:rsidRPr="00D3621E">
        <w:t>g</w:t>
      </w:r>
      <w:r w:rsidRPr="007577E4">
        <w:t xml:space="preserve"> in </w:t>
      </w:r>
      <w:hyperlink w:anchor="_Appendix_B" w:history="1">
        <w:r w:rsidRPr="004B2DEE">
          <w:rPr>
            <w:rStyle w:val="Hyperlink"/>
          </w:rPr>
          <w:t>Appendix B</w:t>
        </w:r>
      </w:hyperlink>
      <w:r w:rsidRPr="007577E4">
        <w:t>) as evidence to support their argument.</w:t>
      </w:r>
    </w:p>
    <w:p w14:paraId="30CA2C2D" w14:textId="51F93502" w:rsidR="00EF4F92" w:rsidRDefault="00EF4F92" w:rsidP="00EF4F92">
      <w:pPr>
        <w:rPr>
          <w:rStyle w:val="Strong"/>
        </w:rPr>
      </w:pPr>
      <w:r w:rsidRPr="00EF4F92">
        <w:rPr>
          <w:rStyle w:val="Strong"/>
        </w:rPr>
        <w:t>Summarise</w:t>
      </w:r>
    </w:p>
    <w:p w14:paraId="68122175" w14:textId="4534151E" w:rsidR="00EF4F92" w:rsidRPr="007577E4" w:rsidRDefault="00EF4F92" w:rsidP="007577E4">
      <w:pPr>
        <w:pStyle w:val="ListBullet"/>
      </w:pPr>
      <w:r w:rsidRPr="007577E4">
        <w:t xml:space="preserve">The construction of a final right-angled triangle with </w:t>
      </w:r>
      <w:r w:rsidR="00776344">
        <w:t>6</w:t>
      </w:r>
      <w:r w:rsidR="00776344" w:rsidRPr="007577E4">
        <w:t xml:space="preserve"> </w:t>
      </w:r>
      <w:r w:rsidRPr="007577E4">
        <w:t>trigonometric ratios calculated and expressed can act as an exit ticket to be collected and reviewed.</w:t>
      </w:r>
    </w:p>
    <w:p w14:paraId="607378F3" w14:textId="14DAA54B" w:rsidR="00EF4F92" w:rsidRDefault="00EF4F92" w:rsidP="00EF4F92">
      <w:pPr>
        <w:rPr>
          <w:rStyle w:val="Strong"/>
        </w:rPr>
      </w:pPr>
      <w:r>
        <w:rPr>
          <w:rStyle w:val="Strong"/>
        </w:rPr>
        <w:lastRenderedPageBreak/>
        <w:t>Apply</w:t>
      </w:r>
    </w:p>
    <w:p w14:paraId="2303F701" w14:textId="1196BB23" w:rsidR="007577E4" w:rsidRPr="007577E4" w:rsidRDefault="00EF4F92" w:rsidP="007577E4">
      <w:pPr>
        <w:pStyle w:val="ListBullet"/>
      </w:pPr>
      <w:r w:rsidRPr="007577E4">
        <w:t>Have students share and submit their phrases to make SOHCAHTOA an acronym and review for accuracy.</w:t>
      </w:r>
    </w:p>
    <w:p w14:paraId="5E95EB87" w14:textId="77777777" w:rsidR="007577E4" w:rsidRDefault="007577E4">
      <w:pPr>
        <w:spacing w:line="276" w:lineRule="auto"/>
      </w:pPr>
      <w:r>
        <w:br w:type="page"/>
      </w:r>
    </w:p>
    <w:p w14:paraId="2F28F15F" w14:textId="71AFF0B5" w:rsidR="00023FE1" w:rsidRPr="007577E4" w:rsidRDefault="00E06B99" w:rsidP="007577E4">
      <w:pPr>
        <w:pStyle w:val="Heading2"/>
      </w:pPr>
      <w:bookmarkStart w:id="0" w:name="_Appendix_A"/>
      <w:bookmarkEnd w:id="0"/>
      <w:r>
        <w:lastRenderedPageBreak/>
        <w:t xml:space="preserve">Appendix </w:t>
      </w:r>
      <w:r w:rsidR="00023FE1">
        <w:t>A</w:t>
      </w:r>
    </w:p>
    <w:p w14:paraId="05B25415" w14:textId="7CFC27C0" w:rsidR="00023FE1" w:rsidRPr="007577E4" w:rsidRDefault="0033142F" w:rsidP="007577E4">
      <w:pPr>
        <w:pStyle w:val="Heading3"/>
      </w:pPr>
      <w:r>
        <w:t>Ratios of sides</w:t>
      </w:r>
    </w:p>
    <w:p w14:paraId="708DF8F8" w14:textId="22674A71" w:rsidR="000C3989" w:rsidRDefault="000C3989" w:rsidP="000C3989">
      <w:r>
        <w:rPr>
          <w:lang w:eastAsia="zh-CN"/>
        </w:rPr>
        <w:t xml:space="preserve">Use the Desmos graph </w:t>
      </w:r>
      <w:hyperlink r:id="rId32" w:history="1">
        <w:r w:rsidR="00D02252" w:rsidRPr="00C670FE">
          <w:rPr>
            <w:rStyle w:val="Hyperlink"/>
          </w:rPr>
          <w:t>The ratios of sides</w:t>
        </w:r>
      </w:hyperlink>
      <w:r w:rsidR="00D02252">
        <w:rPr>
          <w:i/>
          <w:iCs/>
        </w:rPr>
        <w:t xml:space="preserve"> </w:t>
      </w:r>
      <w:r w:rsidR="00D02252">
        <w:t>(</w:t>
      </w:r>
      <w:hyperlink r:id="rId33" w:history="1">
        <w:r w:rsidR="00D02252" w:rsidRPr="00F84C17">
          <w:rPr>
            <w:rStyle w:val="Hyperlink"/>
          </w:rPr>
          <w:t>bit.ly/Desmosratioofsides</w:t>
        </w:r>
      </w:hyperlink>
      <w:r w:rsidR="00D02252">
        <w:t>)</w:t>
      </w:r>
      <w:r w:rsidR="00D9769A">
        <w:t xml:space="preserve"> to </w:t>
      </w:r>
      <w:r w:rsidR="00A60038">
        <w:t>create different triangles with the same angle. V</w:t>
      </w:r>
      <w:r w:rsidR="00D9769A">
        <w:t xml:space="preserve">iew pairs of sides and determine a ratio between </w:t>
      </w:r>
      <w:r w:rsidR="00D222AF">
        <w:t>them.</w:t>
      </w:r>
    </w:p>
    <w:p w14:paraId="40B33C65" w14:textId="0C2A714C" w:rsidR="004820FD" w:rsidRPr="000C3989" w:rsidRDefault="00C67C6B" w:rsidP="00C67C6B">
      <w:pPr>
        <w:pStyle w:val="Caption"/>
        <w:rPr>
          <w:lang w:eastAsia="zh-CN"/>
        </w:rPr>
      </w:pPr>
      <w:r>
        <w:t xml:space="preserve">Table </w:t>
      </w:r>
      <w:r w:rsidR="00811F44">
        <w:fldChar w:fldCharType="begin"/>
      </w:r>
      <w:r w:rsidR="00811F44">
        <w:instrText xml:space="preserve"> SEQ Table \* ARABIC </w:instrText>
      </w:r>
      <w:r w:rsidR="00811F44">
        <w:fldChar w:fldCharType="separate"/>
      </w:r>
      <w:r>
        <w:rPr>
          <w:noProof/>
        </w:rPr>
        <w:t>1</w:t>
      </w:r>
      <w:r w:rsidR="00811F44">
        <w:rPr>
          <w:noProof/>
        </w:rPr>
        <w:fldChar w:fldCharType="end"/>
      </w:r>
      <w:r>
        <w:t xml:space="preserve"> –</w:t>
      </w:r>
      <w:r w:rsidR="004B2DEE">
        <w:t xml:space="preserve"> </w:t>
      </w:r>
      <w:r w:rsidR="004B2DEE">
        <w:rPr>
          <w:rFonts w:eastAsiaTheme="minorEastAsia"/>
          <w:lang w:eastAsia="zh-CN"/>
        </w:rPr>
        <w:t xml:space="preserve">30° </w:t>
      </w:r>
      <w:r>
        <w:rPr>
          <w:rFonts w:eastAsiaTheme="minorEastAsia"/>
          <w:lang w:eastAsia="zh-CN"/>
        </w:rPr>
        <w:t>angle</w:t>
      </w:r>
    </w:p>
    <w:tbl>
      <w:tblPr>
        <w:tblStyle w:val="Tableheader"/>
        <w:tblW w:w="5000" w:type="pct"/>
        <w:tblLook w:val="0420" w:firstRow="1" w:lastRow="0" w:firstColumn="0" w:lastColumn="0" w:noHBand="0" w:noVBand="1"/>
        <w:tblDescription w:val="Table to record ratios of sides for triangles."/>
      </w:tblPr>
      <w:tblGrid>
        <w:gridCol w:w="1516"/>
        <w:gridCol w:w="2429"/>
        <w:gridCol w:w="2858"/>
        <w:gridCol w:w="2819"/>
      </w:tblGrid>
      <w:tr w:rsidR="00030066" w:rsidRPr="00105FD4" w14:paraId="51AAF30D" w14:textId="6511401F" w:rsidTr="00105FD4">
        <w:trPr>
          <w:cnfStyle w:val="100000000000" w:firstRow="1" w:lastRow="0" w:firstColumn="0" w:lastColumn="0" w:oddVBand="0" w:evenVBand="0" w:oddHBand="0" w:evenHBand="0" w:firstRowFirstColumn="0" w:firstRowLastColumn="0" w:lastRowFirstColumn="0" w:lastRowLastColumn="0"/>
          <w:trHeight w:val="300"/>
        </w:trPr>
        <w:tc>
          <w:tcPr>
            <w:tcW w:w="788" w:type="pct"/>
          </w:tcPr>
          <w:p w14:paraId="441E18D1" w14:textId="624EAA13" w:rsidR="00030066" w:rsidRPr="00105FD4" w:rsidRDefault="009F7C15" w:rsidP="00105FD4">
            <w:r w:rsidRPr="00105FD4">
              <w:t>Triangle</w:t>
            </w:r>
          </w:p>
        </w:tc>
        <w:tc>
          <w:tcPr>
            <w:tcW w:w="1262" w:type="pct"/>
          </w:tcPr>
          <w:p w14:paraId="5940CEE6" w14:textId="391B02D2" w:rsidR="00030066" w:rsidRPr="00105FD4" w:rsidRDefault="003700D6" w:rsidP="00105FD4">
            <w:r w:rsidRPr="00105FD4">
              <w:t xml:space="preserve">Opposite: </w:t>
            </w:r>
            <w:r w:rsidR="000C3989" w:rsidRPr="00105FD4">
              <w:t>Adjacent</w:t>
            </w:r>
          </w:p>
        </w:tc>
        <w:tc>
          <w:tcPr>
            <w:tcW w:w="1485" w:type="pct"/>
          </w:tcPr>
          <w:p w14:paraId="4E215CD0" w14:textId="192F2373" w:rsidR="00030066" w:rsidRPr="00105FD4" w:rsidRDefault="000C3989" w:rsidP="00105FD4">
            <w:r w:rsidRPr="00105FD4">
              <w:t>Opposite: Hypotenuse</w:t>
            </w:r>
          </w:p>
        </w:tc>
        <w:tc>
          <w:tcPr>
            <w:tcW w:w="1465" w:type="pct"/>
          </w:tcPr>
          <w:p w14:paraId="61D5CB50" w14:textId="441FF882" w:rsidR="00030066" w:rsidRPr="00105FD4" w:rsidRDefault="000C3989" w:rsidP="00105FD4">
            <w:r w:rsidRPr="00105FD4">
              <w:t>Adjacent: Hypotenuse</w:t>
            </w:r>
          </w:p>
        </w:tc>
      </w:tr>
      <w:tr w:rsidR="00030066" w:rsidRPr="00105FD4" w14:paraId="5328D1A6" w14:textId="10AB5829" w:rsidTr="00105FD4">
        <w:trPr>
          <w:cnfStyle w:val="000000100000" w:firstRow="0" w:lastRow="0" w:firstColumn="0" w:lastColumn="0" w:oddVBand="0" w:evenVBand="0" w:oddHBand="1" w:evenHBand="0" w:firstRowFirstColumn="0" w:firstRowLastColumn="0" w:lastRowFirstColumn="0" w:lastRowLastColumn="0"/>
          <w:trHeight w:val="300"/>
        </w:trPr>
        <w:tc>
          <w:tcPr>
            <w:tcW w:w="788" w:type="pct"/>
          </w:tcPr>
          <w:p w14:paraId="4E028EB0" w14:textId="21279DF8" w:rsidR="00030066" w:rsidRPr="00105FD4" w:rsidRDefault="009F7C15" w:rsidP="00105FD4">
            <w:r w:rsidRPr="00105FD4">
              <w:t>1</w:t>
            </w:r>
          </w:p>
        </w:tc>
        <w:tc>
          <w:tcPr>
            <w:tcW w:w="1262" w:type="pct"/>
          </w:tcPr>
          <w:p w14:paraId="2AD74C51" w14:textId="4962B32C" w:rsidR="00030066" w:rsidRPr="00105FD4" w:rsidRDefault="006F1354" w:rsidP="00105FD4">
            <w:r w:rsidRPr="00105FD4">
              <w:t>6:10</w:t>
            </w:r>
          </w:p>
        </w:tc>
        <w:tc>
          <w:tcPr>
            <w:tcW w:w="1485" w:type="pct"/>
          </w:tcPr>
          <w:p w14:paraId="02CE96E4" w14:textId="77777777" w:rsidR="00030066" w:rsidRPr="00105FD4" w:rsidRDefault="00030066" w:rsidP="00105FD4"/>
        </w:tc>
        <w:tc>
          <w:tcPr>
            <w:tcW w:w="1465" w:type="pct"/>
          </w:tcPr>
          <w:p w14:paraId="1861EA13" w14:textId="77777777" w:rsidR="00030066" w:rsidRPr="00105FD4" w:rsidRDefault="00030066" w:rsidP="00105FD4"/>
        </w:tc>
      </w:tr>
      <w:tr w:rsidR="00030066" w:rsidRPr="00105FD4" w14:paraId="2FC37C5F" w14:textId="586CFB01" w:rsidTr="00105FD4">
        <w:trPr>
          <w:cnfStyle w:val="000000010000" w:firstRow="0" w:lastRow="0" w:firstColumn="0" w:lastColumn="0" w:oddVBand="0" w:evenVBand="0" w:oddHBand="0" w:evenHBand="1" w:firstRowFirstColumn="0" w:firstRowLastColumn="0" w:lastRowFirstColumn="0" w:lastRowLastColumn="0"/>
          <w:trHeight w:val="300"/>
        </w:trPr>
        <w:tc>
          <w:tcPr>
            <w:tcW w:w="788" w:type="pct"/>
          </w:tcPr>
          <w:p w14:paraId="7ED9162F" w14:textId="07E3F39C" w:rsidR="00030066" w:rsidRPr="00105FD4" w:rsidRDefault="009F7C15" w:rsidP="00105FD4">
            <w:r w:rsidRPr="00105FD4">
              <w:t>2</w:t>
            </w:r>
          </w:p>
        </w:tc>
        <w:tc>
          <w:tcPr>
            <w:tcW w:w="1262" w:type="pct"/>
          </w:tcPr>
          <w:p w14:paraId="6934F5B8" w14:textId="77777777" w:rsidR="00030066" w:rsidRPr="00105FD4" w:rsidRDefault="00030066" w:rsidP="00105FD4"/>
        </w:tc>
        <w:tc>
          <w:tcPr>
            <w:tcW w:w="1485" w:type="pct"/>
          </w:tcPr>
          <w:p w14:paraId="0FB0695A" w14:textId="77777777" w:rsidR="00030066" w:rsidRPr="00105FD4" w:rsidRDefault="00030066" w:rsidP="00105FD4"/>
        </w:tc>
        <w:tc>
          <w:tcPr>
            <w:tcW w:w="1465" w:type="pct"/>
          </w:tcPr>
          <w:p w14:paraId="67E634D2" w14:textId="77777777" w:rsidR="00030066" w:rsidRPr="00105FD4" w:rsidRDefault="00030066" w:rsidP="00105FD4"/>
        </w:tc>
      </w:tr>
      <w:tr w:rsidR="00030066" w:rsidRPr="00105FD4" w14:paraId="0BC3F419" w14:textId="01C446D4" w:rsidTr="00105FD4">
        <w:trPr>
          <w:cnfStyle w:val="000000100000" w:firstRow="0" w:lastRow="0" w:firstColumn="0" w:lastColumn="0" w:oddVBand="0" w:evenVBand="0" w:oddHBand="1" w:evenHBand="0" w:firstRowFirstColumn="0" w:firstRowLastColumn="0" w:lastRowFirstColumn="0" w:lastRowLastColumn="0"/>
          <w:trHeight w:val="300"/>
        </w:trPr>
        <w:tc>
          <w:tcPr>
            <w:tcW w:w="788" w:type="pct"/>
          </w:tcPr>
          <w:p w14:paraId="31703D44" w14:textId="5AB5EE56" w:rsidR="00030066" w:rsidRPr="00105FD4" w:rsidRDefault="004479DB" w:rsidP="00105FD4">
            <w:r w:rsidRPr="00105FD4">
              <w:t>3</w:t>
            </w:r>
          </w:p>
        </w:tc>
        <w:tc>
          <w:tcPr>
            <w:tcW w:w="1262" w:type="pct"/>
          </w:tcPr>
          <w:p w14:paraId="39EB1CFD" w14:textId="77777777" w:rsidR="00030066" w:rsidRPr="00105FD4" w:rsidRDefault="00030066" w:rsidP="00105FD4"/>
        </w:tc>
        <w:tc>
          <w:tcPr>
            <w:tcW w:w="1485" w:type="pct"/>
          </w:tcPr>
          <w:p w14:paraId="54BDA2E1" w14:textId="77777777" w:rsidR="00030066" w:rsidRPr="00105FD4" w:rsidRDefault="00030066" w:rsidP="00105FD4"/>
        </w:tc>
        <w:tc>
          <w:tcPr>
            <w:tcW w:w="1465" w:type="pct"/>
          </w:tcPr>
          <w:p w14:paraId="61DDDCD3" w14:textId="77777777" w:rsidR="00030066" w:rsidRPr="00105FD4" w:rsidRDefault="00030066" w:rsidP="00105FD4"/>
        </w:tc>
      </w:tr>
    </w:tbl>
    <w:p w14:paraId="317461F4" w14:textId="35CC8AC1" w:rsidR="004820FD" w:rsidRPr="00C67C6B" w:rsidRDefault="00C67C6B" w:rsidP="00C67C6B">
      <w:pPr>
        <w:pStyle w:val="Caption"/>
        <w:rPr>
          <w:rFonts w:eastAsiaTheme="minorEastAsia"/>
          <w:b w:val="0"/>
          <w:bCs/>
          <w:lang w:eastAsia="zh-CN"/>
        </w:rPr>
      </w:pPr>
      <w:r>
        <w:t xml:space="preserve">Table </w:t>
      </w:r>
      <w:r w:rsidR="00811F44">
        <w:fldChar w:fldCharType="begin"/>
      </w:r>
      <w:r w:rsidR="00811F44">
        <w:instrText xml:space="preserve"> SEQ Table \* ARABIC </w:instrText>
      </w:r>
      <w:r w:rsidR="00811F44">
        <w:fldChar w:fldCharType="separate"/>
      </w:r>
      <w:r>
        <w:rPr>
          <w:noProof/>
        </w:rPr>
        <w:t>2</w:t>
      </w:r>
      <w:r w:rsidR="00811F44">
        <w:rPr>
          <w:noProof/>
        </w:rPr>
        <w:fldChar w:fldCharType="end"/>
      </w:r>
      <w:r>
        <w:t xml:space="preserve"> –</w:t>
      </w:r>
      <w:r w:rsidR="004B2DEE">
        <w:t xml:space="preserve"> </w:t>
      </w:r>
      <w:r w:rsidR="004B2DEE">
        <w:rPr>
          <w:rFonts w:eastAsiaTheme="minorEastAsia"/>
          <w:lang w:eastAsia="zh-CN"/>
        </w:rPr>
        <w:t xml:space="preserve">45° </w:t>
      </w:r>
      <w:r w:rsidR="004820FD">
        <w:rPr>
          <w:rFonts w:eastAsiaTheme="minorEastAsia"/>
          <w:lang w:eastAsia="zh-CN"/>
        </w:rPr>
        <w:t>angle</w:t>
      </w:r>
    </w:p>
    <w:tbl>
      <w:tblPr>
        <w:tblStyle w:val="Tableheader"/>
        <w:tblW w:w="5000" w:type="pct"/>
        <w:tblLook w:val="0420" w:firstRow="1" w:lastRow="0" w:firstColumn="0" w:lastColumn="0" w:noHBand="0" w:noVBand="1"/>
        <w:tblDescription w:val="Table to record ratios of sides for triangles."/>
      </w:tblPr>
      <w:tblGrid>
        <w:gridCol w:w="1516"/>
        <w:gridCol w:w="2429"/>
        <w:gridCol w:w="2858"/>
        <w:gridCol w:w="2819"/>
      </w:tblGrid>
      <w:tr w:rsidR="004820FD" w:rsidRPr="00105FD4" w14:paraId="24B64695" w14:textId="77777777" w:rsidTr="00105FD4">
        <w:trPr>
          <w:cnfStyle w:val="100000000000" w:firstRow="1" w:lastRow="0" w:firstColumn="0" w:lastColumn="0" w:oddVBand="0" w:evenVBand="0" w:oddHBand="0" w:evenHBand="0" w:firstRowFirstColumn="0" w:firstRowLastColumn="0" w:lastRowFirstColumn="0" w:lastRowLastColumn="0"/>
          <w:trHeight w:val="300"/>
        </w:trPr>
        <w:tc>
          <w:tcPr>
            <w:tcW w:w="788" w:type="pct"/>
          </w:tcPr>
          <w:p w14:paraId="58DEA96D" w14:textId="77777777" w:rsidR="004820FD" w:rsidRPr="00105FD4" w:rsidRDefault="004820FD" w:rsidP="00105FD4">
            <w:r w:rsidRPr="00105FD4">
              <w:t>Triangle</w:t>
            </w:r>
          </w:p>
        </w:tc>
        <w:tc>
          <w:tcPr>
            <w:tcW w:w="1262" w:type="pct"/>
          </w:tcPr>
          <w:p w14:paraId="7116A7FE" w14:textId="77777777" w:rsidR="004820FD" w:rsidRPr="00105FD4" w:rsidRDefault="004820FD" w:rsidP="00105FD4">
            <w:r w:rsidRPr="00105FD4">
              <w:t>Opposite: Adjacent</w:t>
            </w:r>
          </w:p>
        </w:tc>
        <w:tc>
          <w:tcPr>
            <w:tcW w:w="1485" w:type="pct"/>
          </w:tcPr>
          <w:p w14:paraId="0D379C9C" w14:textId="77777777" w:rsidR="004820FD" w:rsidRPr="00105FD4" w:rsidRDefault="004820FD" w:rsidP="00105FD4">
            <w:r w:rsidRPr="00105FD4">
              <w:t>Opposite: Hypotenuse</w:t>
            </w:r>
          </w:p>
        </w:tc>
        <w:tc>
          <w:tcPr>
            <w:tcW w:w="1465" w:type="pct"/>
          </w:tcPr>
          <w:p w14:paraId="297FBE5A" w14:textId="77777777" w:rsidR="004820FD" w:rsidRPr="00105FD4" w:rsidRDefault="004820FD" w:rsidP="00105FD4">
            <w:r w:rsidRPr="00105FD4">
              <w:t>Adjacent: Hypotenuse</w:t>
            </w:r>
          </w:p>
        </w:tc>
      </w:tr>
      <w:tr w:rsidR="004820FD" w:rsidRPr="00105FD4" w14:paraId="1737A867" w14:textId="77777777" w:rsidTr="00105FD4">
        <w:trPr>
          <w:cnfStyle w:val="000000100000" w:firstRow="0" w:lastRow="0" w:firstColumn="0" w:lastColumn="0" w:oddVBand="0" w:evenVBand="0" w:oddHBand="1" w:evenHBand="0" w:firstRowFirstColumn="0" w:firstRowLastColumn="0" w:lastRowFirstColumn="0" w:lastRowLastColumn="0"/>
          <w:trHeight w:val="300"/>
        </w:trPr>
        <w:tc>
          <w:tcPr>
            <w:tcW w:w="788" w:type="pct"/>
          </w:tcPr>
          <w:p w14:paraId="7FBE8B55" w14:textId="77777777" w:rsidR="004820FD" w:rsidRPr="00105FD4" w:rsidRDefault="004820FD" w:rsidP="00105FD4">
            <w:r w:rsidRPr="00105FD4">
              <w:t>1</w:t>
            </w:r>
          </w:p>
        </w:tc>
        <w:tc>
          <w:tcPr>
            <w:tcW w:w="1262" w:type="pct"/>
          </w:tcPr>
          <w:p w14:paraId="4BF4277A" w14:textId="77777777" w:rsidR="004820FD" w:rsidRPr="00105FD4" w:rsidRDefault="004820FD" w:rsidP="00105FD4"/>
        </w:tc>
        <w:tc>
          <w:tcPr>
            <w:tcW w:w="1485" w:type="pct"/>
          </w:tcPr>
          <w:p w14:paraId="709B46DD" w14:textId="77777777" w:rsidR="004820FD" w:rsidRPr="00105FD4" w:rsidRDefault="004820FD" w:rsidP="00105FD4"/>
        </w:tc>
        <w:tc>
          <w:tcPr>
            <w:tcW w:w="1465" w:type="pct"/>
          </w:tcPr>
          <w:p w14:paraId="0FFA7A6F" w14:textId="77777777" w:rsidR="004820FD" w:rsidRPr="00105FD4" w:rsidRDefault="004820FD" w:rsidP="00105FD4"/>
        </w:tc>
      </w:tr>
      <w:tr w:rsidR="004820FD" w:rsidRPr="00105FD4" w14:paraId="18A4F10B" w14:textId="77777777" w:rsidTr="00105FD4">
        <w:trPr>
          <w:cnfStyle w:val="000000010000" w:firstRow="0" w:lastRow="0" w:firstColumn="0" w:lastColumn="0" w:oddVBand="0" w:evenVBand="0" w:oddHBand="0" w:evenHBand="1" w:firstRowFirstColumn="0" w:firstRowLastColumn="0" w:lastRowFirstColumn="0" w:lastRowLastColumn="0"/>
          <w:trHeight w:val="300"/>
        </w:trPr>
        <w:tc>
          <w:tcPr>
            <w:tcW w:w="788" w:type="pct"/>
          </w:tcPr>
          <w:p w14:paraId="4D44341C" w14:textId="77777777" w:rsidR="004820FD" w:rsidRPr="00105FD4" w:rsidRDefault="004820FD" w:rsidP="00105FD4">
            <w:r w:rsidRPr="00105FD4">
              <w:t>2</w:t>
            </w:r>
          </w:p>
        </w:tc>
        <w:tc>
          <w:tcPr>
            <w:tcW w:w="1262" w:type="pct"/>
          </w:tcPr>
          <w:p w14:paraId="4C8FF4F5" w14:textId="77777777" w:rsidR="004820FD" w:rsidRPr="00105FD4" w:rsidRDefault="004820FD" w:rsidP="00105FD4"/>
        </w:tc>
        <w:tc>
          <w:tcPr>
            <w:tcW w:w="1485" w:type="pct"/>
          </w:tcPr>
          <w:p w14:paraId="49B52C3A" w14:textId="77777777" w:rsidR="004820FD" w:rsidRPr="00105FD4" w:rsidRDefault="004820FD" w:rsidP="00105FD4"/>
        </w:tc>
        <w:tc>
          <w:tcPr>
            <w:tcW w:w="1465" w:type="pct"/>
          </w:tcPr>
          <w:p w14:paraId="466E8303" w14:textId="77777777" w:rsidR="004820FD" w:rsidRPr="00105FD4" w:rsidRDefault="004820FD" w:rsidP="00105FD4"/>
        </w:tc>
      </w:tr>
      <w:tr w:rsidR="004820FD" w:rsidRPr="00105FD4" w14:paraId="1D1193F9" w14:textId="77777777" w:rsidTr="00105FD4">
        <w:trPr>
          <w:cnfStyle w:val="000000100000" w:firstRow="0" w:lastRow="0" w:firstColumn="0" w:lastColumn="0" w:oddVBand="0" w:evenVBand="0" w:oddHBand="1" w:evenHBand="0" w:firstRowFirstColumn="0" w:firstRowLastColumn="0" w:lastRowFirstColumn="0" w:lastRowLastColumn="0"/>
          <w:trHeight w:val="300"/>
        </w:trPr>
        <w:tc>
          <w:tcPr>
            <w:tcW w:w="788" w:type="pct"/>
          </w:tcPr>
          <w:p w14:paraId="0ABFFC81" w14:textId="77777777" w:rsidR="004820FD" w:rsidRPr="00105FD4" w:rsidRDefault="004820FD" w:rsidP="00105FD4">
            <w:r w:rsidRPr="00105FD4">
              <w:t>3</w:t>
            </w:r>
          </w:p>
        </w:tc>
        <w:tc>
          <w:tcPr>
            <w:tcW w:w="1262" w:type="pct"/>
          </w:tcPr>
          <w:p w14:paraId="02469B9C" w14:textId="77777777" w:rsidR="004820FD" w:rsidRPr="00105FD4" w:rsidRDefault="004820FD" w:rsidP="00105FD4"/>
        </w:tc>
        <w:tc>
          <w:tcPr>
            <w:tcW w:w="1485" w:type="pct"/>
          </w:tcPr>
          <w:p w14:paraId="69CC72BB" w14:textId="77777777" w:rsidR="004820FD" w:rsidRPr="00105FD4" w:rsidRDefault="004820FD" w:rsidP="00105FD4"/>
        </w:tc>
        <w:tc>
          <w:tcPr>
            <w:tcW w:w="1465" w:type="pct"/>
          </w:tcPr>
          <w:p w14:paraId="635A5F94" w14:textId="77777777" w:rsidR="004820FD" w:rsidRPr="00105FD4" w:rsidRDefault="004820FD" w:rsidP="00105FD4"/>
        </w:tc>
      </w:tr>
    </w:tbl>
    <w:p w14:paraId="3836E1C9" w14:textId="611958B1" w:rsidR="004820FD" w:rsidRPr="00C67C6B" w:rsidRDefault="00C67C6B" w:rsidP="00C67C6B">
      <w:pPr>
        <w:pStyle w:val="Caption"/>
        <w:rPr>
          <w:rFonts w:eastAsiaTheme="minorEastAsia"/>
          <w:b w:val="0"/>
          <w:bCs/>
          <w:lang w:eastAsia="zh-CN"/>
        </w:rPr>
      </w:pPr>
      <w:r>
        <w:t xml:space="preserve">Table </w:t>
      </w:r>
      <w:r w:rsidR="00811F44">
        <w:fldChar w:fldCharType="begin"/>
      </w:r>
      <w:r w:rsidR="00811F44">
        <w:instrText xml:space="preserve"> SEQ Table \* ARABIC </w:instrText>
      </w:r>
      <w:r w:rsidR="00811F44">
        <w:fldChar w:fldCharType="separate"/>
      </w:r>
      <w:r>
        <w:rPr>
          <w:noProof/>
        </w:rPr>
        <w:t>3</w:t>
      </w:r>
      <w:r w:rsidR="00811F44">
        <w:rPr>
          <w:noProof/>
        </w:rPr>
        <w:fldChar w:fldCharType="end"/>
      </w:r>
      <w:r>
        <w:t xml:space="preserve"> –</w:t>
      </w:r>
      <w:r w:rsidR="004B2DEE">
        <w:t xml:space="preserve"> </w:t>
      </w:r>
      <w:r w:rsidR="004B2DEE">
        <w:rPr>
          <w:rFonts w:eastAsiaTheme="minorEastAsia"/>
          <w:lang w:eastAsia="zh-CN"/>
        </w:rPr>
        <w:t xml:space="preserve">60° </w:t>
      </w:r>
      <w:r w:rsidR="004820FD">
        <w:rPr>
          <w:rFonts w:eastAsiaTheme="minorEastAsia"/>
          <w:lang w:eastAsia="zh-CN"/>
        </w:rPr>
        <w:t>angle</w:t>
      </w:r>
    </w:p>
    <w:tbl>
      <w:tblPr>
        <w:tblStyle w:val="Tableheader"/>
        <w:tblW w:w="5000" w:type="pct"/>
        <w:tblLook w:val="0420" w:firstRow="1" w:lastRow="0" w:firstColumn="0" w:lastColumn="0" w:noHBand="0" w:noVBand="1"/>
        <w:tblDescription w:val="Table to record ratios of sides for triangles."/>
      </w:tblPr>
      <w:tblGrid>
        <w:gridCol w:w="1516"/>
        <w:gridCol w:w="2429"/>
        <w:gridCol w:w="2858"/>
        <w:gridCol w:w="2819"/>
      </w:tblGrid>
      <w:tr w:rsidR="004820FD" w:rsidRPr="00105FD4" w14:paraId="5EB00681" w14:textId="77777777" w:rsidTr="00105FD4">
        <w:trPr>
          <w:cnfStyle w:val="100000000000" w:firstRow="1" w:lastRow="0" w:firstColumn="0" w:lastColumn="0" w:oddVBand="0" w:evenVBand="0" w:oddHBand="0" w:evenHBand="0" w:firstRowFirstColumn="0" w:firstRowLastColumn="0" w:lastRowFirstColumn="0" w:lastRowLastColumn="0"/>
          <w:trHeight w:val="300"/>
        </w:trPr>
        <w:tc>
          <w:tcPr>
            <w:tcW w:w="788" w:type="pct"/>
          </w:tcPr>
          <w:p w14:paraId="2C80BB2E" w14:textId="77777777" w:rsidR="004820FD" w:rsidRPr="00105FD4" w:rsidRDefault="004820FD" w:rsidP="00105FD4">
            <w:r w:rsidRPr="00105FD4">
              <w:t>Triangle</w:t>
            </w:r>
          </w:p>
        </w:tc>
        <w:tc>
          <w:tcPr>
            <w:tcW w:w="1262" w:type="pct"/>
          </w:tcPr>
          <w:p w14:paraId="6199A169" w14:textId="77777777" w:rsidR="004820FD" w:rsidRPr="00105FD4" w:rsidRDefault="004820FD" w:rsidP="00105FD4">
            <w:r w:rsidRPr="00105FD4">
              <w:t>Opposite: Adjacent</w:t>
            </w:r>
          </w:p>
        </w:tc>
        <w:tc>
          <w:tcPr>
            <w:tcW w:w="1485" w:type="pct"/>
          </w:tcPr>
          <w:p w14:paraId="5DD220D8" w14:textId="77777777" w:rsidR="004820FD" w:rsidRPr="00105FD4" w:rsidRDefault="004820FD" w:rsidP="00105FD4">
            <w:r w:rsidRPr="00105FD4">
              <w:t>Opposite: Hypotenuse</w:t>
            </w:r>
          </w:p>
        </w:tc>
        <w:tc>
          <w:tcPr>
            <w:tcW w:w="1465" w:type="pct"/>
          </w:tcPr>
          <w:p w14:paraId="6142E74B" w14:textId="77777777" w:rsidR="004820FD" w:rsidRPr="00105FD4" w:rsidRDefault="004820FD" w:rsidP="00105FD4">
            <w:r w:rsidRPr="00105FD4">
              <w:t>Adjacent: Hypotenuse</w:t>
            </w:r>
          </w:p>
        </w:tc>
      </w:tr>
      <w:tr w:rsidR="004820FD" w:rsidRPr="00105FD4" w14:paraId="785B76D9" w14:textId="77777777" w:rsidTr="00105FD4">
        <w:trPr>
          <w:cnfStyle w:val="000000100000" w:firstRow="0" w:lastRow="0" w:firstColumn="0" w:lastColumn="0" w:oddVBand="0" w:evenVBand="0" w:oddHBand="1" w:evenHBand="0" w:firstRowFirstColumn="0" w:firstRowLastColumn="0" w:lastRowFirstColumn="0" w:lastRowLastColumn="0"/>
          <w:trHeight w:val="300"/>
        </w:trPr>
        <w:tc>
          <w:tcPr>
            <w:tcW w:w="788" w:type="pct"/>
          </w:tcPr>
          <w:p w14:paraId="21F67009" w14:textId="77777777" w:rsidR="004820FD" w:rsidRPr="00105FD4" w:rsidRDefault="004820FD" w:rsidP="00105FD4">
            <w:r w:rsidRPr="00105FD4">
              <w:t>1</w:t>
            </w:r>
          </w:p>
        </w:tc>
        <w:tc>
          <w:tcPr>
            <w:tcW w:w="1262" w:type="pct"/>
          </w:tcPr>
          <w:p w14:paraId="0634D5B3" w14:textId="77777777" w:rsidR="004820FD" w:rsidRPr="00105FD4" w:rsidRDefault="004820FD" w:rsidP="00105FD4"/>
        </w:tc>
        <w:tc>
          <w:tcPr>
            <w:tcW w:w="1485" w:type="pct"/>
          </w:tcPr>
          <w:p w14:paraId="33F6F1FE" w14:textId="77777777" w:rsidR="004820FD" w:rsidRPr="00105FD4" w:rsidRDefault="004820FD" w:rsidP="00105FD4"/>
        </w:tc>
        <w:tc>
          <w:tcPr>
            <w:tcW w:w="1465" w:type="pct"/>
          </w:tcPr>
          <w:p w14:paraId="23AE7F6E" w14:textId="77777777" w:rsidR="004820FD" w:rsidRPr="00105FD4" w:rsidRDefault="004820FD" w:rsidP="00105FD4"/>
        </w:tc>
      </w:tr>
      <w:tr w:rsidR="004820FD" w:rsidRPr="00105FD4" w14:paraId="44B48B4C" w14:textId="77777777" w:rsidTr="00105FD4">
        <w:trPr>
          <w:cnfStyle w:val="000000010000" w:firstRow="0" w:lastRow="0" w:firstColumn="0" w:lastColumn="0" w:oddVBand="0" w:evenVBand="0" w:oddHBand="0" w:evenHBand="1" w:firstRowFirstColumn="0" w:firstRowLastColumn="0" w:lastRowFirstColumn="0" w:lastRowLastColumn="0"/>
          <w:trHeight w:val="300"/>
        </w:trPr>
        <w:tc>
          <w:tcPr>
            <w:tcW w:w="788" w:type="pct"/>
          </w:tcPr>
          <w:p w14:paraId="67EB6581" w14:textId="77777777" w:rsidR="004820FD" w:rsidRPr="00105FD4" w:rsidRDefault="004820FD" w:rsidP="00105FD4">
            <w:r w:rsidRPr="00105FD4">
              <w:t>2</w:t>
            </w:r>
          </w:p>
        </w:tc>
        <w:tc>
          <w:tcPr>
            <w:tcW w:w="1262" w:type="pct"/>
          </w:tcPr>
          <w:p w14:paraId="4CA1FDAC" w14:textId="77777777" w:rsidR="004820FD" w:rsidRPr="00105FD4" w:rsidRDefault="004820FD" w:rsidP="00105FD4"/>
        </w:tc>
        <w:tc>
          <w:tcPr>
            <w:tcW w:w="1485" w:type="pct"/>
          </w:tcPr>
          <w:p w14:paraId="7D8D9A54" w14:textId="77777777" w:rsidR="004820FD" w:rsidRPr="00105FD4" w:rsidRDefault="004820FD" w:rsidP="00105FD4"/>
        </w:tc>
        <w:tc>
          <w:tcPr>
            <w:tcW w:w="1465" w:type="pct"/>
          </w:tcPr>
          <w:p w14:paraId="3C668978" w14:textId="77777777" w:rsidR="004820FD" w:rsidRPr="00105FD4" w:rsidRDefault="004820FD" w:rsidP="00105FD4"/>
        </w:tc>
      </w:tr>
      <w:tr w:rsidR="004820FD" w:rsidRPr="00105FD4" w14:paraId="1FBF6669" w14:textId="77777777" w:rsidTr="00105FD4">
        <w:trPr>
          <w:cnfStyle w:val="000000100000" w:firstRow="0" w:lastRow="0" w:firstColumn="0" w:lastColumn="0" w:oddVBand="0" w:evenVBand="0" w:oddHBand="1" w:evenHBand="0" w:firstRowFirstColumn="0" w:firstRowLastColumn="0" w:lastRowFirstColumn="0" w:lastRowLastColumn="0"/>
          <w:trHeight w:val="300"/>
        </w:trPr>
        <w:tc>
          <w:tcPr>
            <w:tcW w:w="788" w:type="pct"/>
          </w:tcPr>
          <w:p w14:paraId="5D50C01E" w14:textId="77777777" w:rsidR="004820FD" w:rsidRPr="00105FD4" w:rsidRDefault="004820FD" w:rsidP="00105FD4">
            <w:r w:rsidRPr="00105FD4">
              <w:t>3</w:t>
            </w:r>
          </w:p>
        </w:tc>
        <w:tc>
          <w:tcPr>
            <w:tcW w:w="1262" w:type="pct"/>
          </w:tcPr>
          <w:p w14:paraId="7DE7331C" w14:textId="77777777" w:rsidR="004820FD" w:rsidRPr="00105FD4" w:rsidRDefault="004820FD" w:rsidP="00105FD4"/>
        </w:tc>
        <w:tc>
          <w:tcPr>
            <w:tcW w:w="1485" w:type="pct"/>
          </w:tcPr>
          <w:p w14:paraId="29A0AED0" w14:textId="77777777" w:rsidR="004820FD" w:rsidRPr="00105FD4" w:rsidRDefault="004820FD" w:rsidP="00105FD4"/>
        </w:tc>
        <w:tc>
          <w:tcPr>
            <w:tcW w:w="1465" w:type="pct"/>
          </w:tcPr>
          <w:p w14:paraId="145F1BEF" w14:textId="77777777" w:rsidR="004820FD" w:rsidRPr="00105FD4" w:rsidRDefault="004820FD" w:rsidP="00105FD4"/>
        </w:tc>
      </w:tr>
    </w:tbl>
    <w:p w14:paraId="6157ECE0" w14:textId="3D70AE5D" w:rsidR="006A4554" w:rsidRPr="00105FD4" w:rsidRDefault="006A4554" w:rsidP="00105FD4">
      <w:pPr>
        <w:pStyle w:val="ListBullet"/>
        <w:rPr>
          <w:lang w:eastAsia="zh-CN"/>
        </w:rPr>
      </w:pPr>
      <w:r w:rsidRPr="00105FD4">
        <w:t>If you make a different triangle with the same angle, for example</w:t>
      </w:r>
      <w:r w:rsidR="00F96AF9">
        <w:t xml:space="preserve">, 30°, </w:t>
      </w:r>
      <w:r w:rsidRPr="00105FD4">
        <w:t>how do the ratios change?</w:t>
      </w:r>
    </w:p>
    <w:p w14:paraId="256E5863" w14:textId="66020120" w:rsidR="00105FD4" w:rsidRDefault="00FC54FD" w:rsidP="00105FD4">
      <w:pPr>
        <w:pStyle w:val="ListBullet"/>
      </w:pPr>
      <w:r w:rsidRPr="00105FD4">
        <w:lastRenderedPageBreak/>
        <w:t xml:space="preserve">Do your calculator values for </w:t>
      </w:r>
      <m:oMath>
        <m:func>
          <m:funcPr>
            <m:ctrlPr>
              <w:rPr>
                <w:rFonts w:ascii="Cambria Math" w:hAnsi="Cambria Math"/>
                <w:lang w:eastAsia="zh-CN"/>
              </w:rPr>
            </m:ctrlPr>
          </m:funcPr>
          <m:fName>
            <m:r>
              <m:rPr>
                <m:sty m:val="p"/>
              </m:rPr>
              <w:rPr>
                <w:rFonts w:ascii="Cambria Math" w:hAnsi="Cambria Math"/>
              </w:rPr>
              <m:t>tan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oMath>
      <w:r w:rsidRPr="00105FD4">
        <w:t xml:space="preserve">, </w:t>
      </w:r>
      <m:oMath>
        <m:func>
          <m:funcPr>
            <m:ctrlPr>
              <w:rPr>
                <w:rFonts w:ascii="Cambria Math" w:hAnsi="Cambria Math"/>
                <w:lang w:eastAsia="zh-CN"/>
              </w:rPr>
            </m:ctrlPr>
          </m:funcPr>
          <m:fName>
            <m:r>
              <m:rPr>
                <m:sty m:val="p"/>
              </m:rPr>
              <w:rPr>
                <w:rFonts w:ascii="Cambria Math" w:hAnsi="Cambria Math"/>
              </w:rPr>
              <m:t>tan</m:t>
            </m:r>
          </m:fName>
          <m:e>
            <m:sSup>
              <m:sSupPr>
                <m:ctrlPr>
                  <w:rPr>
                    <w:rFonts w:ascii="Cambria Math" w:hAnsi="Cambria Math"/>
                    <w:lang w:eastAsia="zh-CN"/>
                  </w:rPr>
                </m:ctrlPr>
              </m:sSupPr>
              <m:e>
                <m:r>
                  <w:rPr>
                    <w:rFonts w:ascii="Cambria Math" w:hAnsi="Cambria Math"/>
                  </w:rPr>
                  <m:t>45</m:t>
                </m:r>
              </m:e>
              <m:sup>
                <m:r>
                  <w:rPr>
                    <w:rFonts w:ascii="Cambria Math" w:hAnsi="Cambria Math"/>
                  </w:rPr>
                  <m:t>o</m:t>
                </m:r>
              </m:sup>
            </m:sSup>
          </m:e>
        </m:func>
      </m:oMath>
      <w:r w:rsidRPr="00105FD4">
        <w:t xml:space="preserve"> and </w:t>
      </w:r>
      <m:oMath>
        <m:func>
          <m:funcPr>
            <m:ctrlPr>
              <w:rPr>
                <w:rFonts w:ascii="Cambria Math" w:hAnsi="Cambria Math"/>
                <w:lang w:eastAsia="zh-CN"/>
              </w:rPr>
            </m:ctrlPr>
          </m:funcPr>
          <m:fName>
            <m:r>
              <m:rPr>
                <m:sty m:val="p"/>
              </m:rPr>
              <w:rPr>
                <w:rFonts w:ascii="Cambria Math" w:hAnsi="Cambria Math"/>
              </w:rPr>
              <m:t>tan</m:t>
            </m:r>
          </m:fName>
          <m:e>
            <m:sSup>
              <m:sSupPr>
                <m:ctrlPr>
                  <w:rPr>
                    <w:rFonts w:ascii="Cambria Math" w:hAnsi="Cambria Math"/>
                    <w:lang w:eastAsia="zh-CN"/>
                  </w:rPr>
                </m:ctrlPr>
              </m:sSupPr>
              <m:e>
                <m:r>
                  <w:rPr>
                    <w:rFonts w:ascii="Cambria Math" w:hAnsi="Cambria Math"/>
                  </w:rPr>
                  <m:t>60</m:t>
                </m:r>
              </m:e>
              <m:sup>
                <m:r>
                  <w:rPr>
                    <w:rFonts w:ascii="Cambria Math" w:hAnsi="Cambria Math"/>
                  </w:rPr>
                  <m:t>o</m:t>
                </m:r>
              </m:sup>
            </m:sSup>
          </m:e>
        </m:func>
      </m:oMath>
      <w:r w:rsidRPr="00105FD4">
        <w:t xml:space="preserve"> </w:t>
      </w:r>
      <w:r w:rsidR="00AE2B99" w:rsidRPr="00105FD4">
        <w:t>match with the ratios for Opposite: Adjacent?</w:t>
      </w:r>
    </w:p>
    <w:p w14:paraId="75F22095" w14:textId="77777777" w:rsidR="00105FD4" w:rsidRDefault="00105FD4">
      <w:pPr>
        <w:spacing w:line="276" w:lineRule="auto"/>
      </w:pPr>
      <w:r>
        <w:br w:type="page"/>
      </w:r>
    </w:p>
    <w:p w14:paraId="68776AB0" w14:textId="7073CC37" w:rsidR="00E06B99" w:rsidRPr="00105FD4" w:rsidRDefault="00023FE1" w:rsidP="00105FD4">
      <w:pPr>
        <w:pStyle w:val="Heading2"/>
      </w:pPr>
      <w:bookmarkStart w:id="1" w:name="_Appendix_B"/>
      <w:bookmarkEnd w:id="1"/>
      <w:r>
        <w:lastRenderedPageBreak/>
        <w:t>Appendix B</w:t>
      </w:r>
    </w:p>
    <w:p w14:paraId="1ADEA665" w14:textId="714FF3AC" w:rsidR="00E06B99" w:rsidRPr="00105FD4" w:rsidRDefault="00011156" w:rsidP="00105FD4">
      <w:pPr>
        <w:pStyle w:val="Heading3"/>
      </w:pPr>
      <w:r>
        <w:t>The sine ratio</w:t>
      </w:r>
    </w:p>
    <w:p w14:paraId="139CD66C" w14:textId="298D5E0E" w:rsidR="00660229" w:rsidRPr="00105FD4" w:rsidRDefault="00660229" w:rsidP="00105FD4">
      <w:pPr>
        <w:pStyle w:val="ListNumber"/>
        <w:numPr>
          <w:ilvl w:val="0"/>
          <w:numId w:val="26"/>
        </w:numPr>
      </w:pPr>
      <w:r w:rsidRPr="00105FD4">
        <w:t xml:space="preserve">Find the value of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oMath>
      <w:r w:rsidRPr="00105FD4">
        <w:t xml:space="preserve"> by typing this into your calculator</w:t>
      </w:r>
      <w:r w:rsidR="007765DE">
        <w:t>:</w:t>
      </w:r>
      <w:r w:rsidR="00650D04" w:rsidRPr="00105FD4">
        <w:t xml:space="preserve">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r>
          <w:rPr>
            <w:rFonts w:ascii="Cambria Math" w:hAnsi="Cambria Math"/>
          </w:rPr>
          <m:t>=</m:t>
        </m:r>
      </m:oMath>
    </w:p>
    <w:p w14:paraId="1A3321CD" w14:textId="196E4AFE" w:rsidR="00660229" w:rsidRPr="00105FD4" w:rsidRDefault="00660229" w:rsidP="00105FD4">
      <w:pPr>
        <w:pStyle w:val="ListNumber2"/>
      </w:pPr>
      <w:r w:rsidRPr="00105FD4">
        <w:t>Draw a</w:t>
      </w:r>
      <w:r w:rsidR="00D3621E">
        <w:t xml:space="preserve"> 30°</w:t>
      </w:r>
      <w:r w:rsidRPr="00105FD4">
        <w:t xml:space="preserve"> angle</w:t>
      </w:r>
      <w:r w:rsidR="00A419EC" w:rsidRPr="00105FD4">
        <w:t>.</w:t>
      </w:r>
    </w:p>
    <w:p w14:paraId="36A46787" w14:textId="39ECD9F4" w:rsidR="00660229" w:rsidRPr="00105FD4" w:rsidRDefault="00660229" w:rsidP="00105FD4">
      <w:pPr>
        <w:pStyle w:val="ListNumber2"/>
      </w:pPr>
      <w:r w:rsidRPr="00105FD4">
        <w:t>Us</w:t>
      </w:r>
      <w:r w:rsidR="00DB545E" w:rsidRPr="00105FD4">
        <w:t>e</w:t>
      </w:r>
      <w:r w:rsidRPr="00105FD4">
        <w:t xml:space="preserve"> this angle to form a right-angled triangle</w:t>
      </w:r>
      <w:r w:rsidR="00A419EC" w:rsidRPr="00105FD4">
        <w:t>.</w:t>
      </w:r>
    </w:p>
    <w:p w14:paraId="6D623663" w14:textId="77777777" w:rsidR="00105FD4" w:rsidRDefault="00660229" w:rsidP="00105FD4">
      <w:pPr>
        <w:pStyle w:val="ListNumber2"/>
      </w:pPr>
      <w:r w:rsidRPr="00105FD4">
        <w:t>Measur</w:t>
      </w:r>
      <w:r w:rsidR="006A3193" w:rsidRPr="00105FD4">
        <w:t>e</w:t>
      </w:r>
      <w:r w:rsidRPr="00105FD4">
        <w:t xml:space="preserve"> and mark all sides and angles</w:t>
      </w:r>
      <w:r w:rsidR="006A3193" w:rsidRPr="00105FD4">
        <w:t>. It should look something like the triangle below, with different numbers.</w:t>
      </w:r>
    </w:p>
    <w:p w14:paraId="13C19207" w14:textId="3066A8B0" w:rsidR="00105FD4" w:rsidRDefault="00A419EC" w:rsidP="00105FD4">
      <w:pPr>
        <w:pStyle w:val="ListNumber2"/>
        <w:numPr>
          <w:ilvl w:val="0"/>
          <w:numId w:val="0"/>
        </w:numPr>
        <w:ind w:left="1134"/>
      </w:pPr>
      <w:r>
        <w:rPr>
          <w:lang w:eastAsia="zh-CN"/>
        </w:rPr>
        <w:t>For example:</w:t>
      </w:r>
    </w:p>
    <w:p w14:paraId="5C246668" w14:textId="408E0DC4" w:rsidR="00660229" w:rsidRDefault="001B1751" w:rsidP="00105FD4">
      <w:pPr>
        <w:pStyle w:val="ListBullet"/>
        <w:numPr>
          <w:ilvl w:val="0"/>
          <w:numId w:val="0"/>
        </w:numPr>
        <w:ind w:left="1004"/>
        <w:rPr>
          <w:lang w:eastAsia="zh-CN"/>
        </w:rPr>
      </w:pPr>
      <w:r>
        <w:rPr>
          <w:noProof/>
        </w:rPr>
        <w:drawing>
          <wp:inline distT="0" distB="0" distL="0" distR="0" wp14:anchorId="03F4D533" wp14:editId="393E119F">
            <wp:extent cx="2437119" cy="1676400"/>
            <wp:effectExtent l="0" t="0" r="1905" b="0"/>
            <wp:docPr id="1" name="Picture 1" descr="Right angled triangle with two acute angles marked as 30 degrees and 60 degrees. The hypotenuse is 4cm. The side between the right angle and 30 degrees is 3.5 cm and the remaining side is 2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56361" cy="1689636"/>
                    </a:xfrm>
                    <a:prstGeom prst="rect">
                      <a:avLst/>
                    </a:prstGeom>
                  </pic:spPr>
                </pic:pic>
              </a:graphicData>
            </a:graphic>
          </wp:inline>
        </w:drawing>
      </w:r>
    </w:p>
    <w:p w14:paraId="7B797EBE" w14:textId="0904978D" w:rsidR="00660229" w:rsidRPr="00105FD4" w:rsidRDefault="006A3193" w:rsidP="00105FD4">
      <w:pPr>
        <w:pStyle w:val="ListNumber2"/>
      </w:pPr>
      <w:r w:rsidRPr="00105FD4">
        <w:t>Can you find</w:t>
      </w:r>
      <w:r w:rsidR="00660229" w:rsidRPr="00105FD4">
        <w:t xml:space="preserve"> any relationship equal to </w:t>
      </w:r>
      <m:oMath>
        <m:f>
          <m:fPr>
            <m:ctrlPr>
              <w:rPr>
                <w:rFonts w:ascii="Cambria Math" w:hAnsi="Cambria Math"/>
                <w:lang w:eastAsia="zh-CN"/>
              </w:rPr>
            </m:ctrlPr>
          </m:fPr>
          <m:num>
            <m:r>
              <w:rPr>
                <w:rFonts w:ascii="Cambria Math" w:hAnsi="Cambria Math"/>
              </w:rPr>
              <m:t>1</m:t>
            </m:r>
          </m:num>
          <m:den>
            <m:r>
              <w:rPr>
                <w:rFonts w:ascii="Cambria Math" w:hAnsi="Cambria Math"/>
              </w:rPr>
              <m:t>2</m:t>
            </m:r>
          </m:den>
        </m:f>
      </m:oMath>
      <w:r w:rsidR="00660229" w:rsidRPr="00105FD4">
        <w:t xml:space="preserve"> (because </w:t>
      </w: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r>
          <w:rPr>
            <w:rFonts w:ascii="Cambria Math" w:hAnsi="Cambria Math"/>
          </w:rPr>
          <m:t>=</m:t>
        </m:r>
        <m:f>
          <m:fPr>
            <m:ctrlPr>
              <w:rPr>
                <w:rFonts w:ascii="Cambria Math" w:hAnsi="Cambria Math"/>
                <w:lang w:eastAsia="zh-CN"/>
              </w:rPr>
            </m:ctrlPr>
          </m:fPr>
          <m:num>
            <m:r>
              <w:rPr>
                <w:rFonts w:ascii="Cambria Math" w:hAnsi="Cambria Math"/>
              </w:rPr>
              <m:t>1</m:t>
            </m:r>
          </m:num>
          <m:den>
            <m:r>
              <w:rPr>
                <w:rFonts w:ascii="Cambria Math" w:hAnsi="Cambria Math"/>
              </w:rPr>
              <m:t>2</m:t>
            </m:r>
          </m:den>
        </m:f>
      </m:oMath>
      <w:r w:rsidR="00660229" w:rsidRPr="00105FD4">
        <w:t>)</w:t>
      </w:r>
    </w:p>
    <w:p w14:paraId="4DD6C2F5" w14:textId="77777777" w:rsidR="00105FD4" w:rsidRPr="00105FD4" w:rsidRDefault="00660229" w:rsidP="00105FD4">
      <w:pPr>
        <w:pStyle w:val="ListNumber2"/>
      </w:pPr>
      <w:r w:rsidRPr="00105FD4">
        <w:t>Wri</w:t>
      </w:r>
      <w:r w:rsidR="006A3193" w:rsidRPr="00105FD4">
        <w:t>te</w:t>
      </w:r>
      <w:r w:rsidRPr="00105FD4">
        <w:t xml:space="preserve"> down your hypothesis:</w:t>
      </w:r>
    </w:p>
    <w:p w14:paraId="7F002C7D" w14:textId="2E13EF79" w:rsidR="00660229" w:rsidRPr="00105FD4" w:rsidRDefault="00000000" w:rsidP="00105FD4">
      <w:pPr>
        <w:pStyle w:val="ListNumber2"/>
        <w:numPr>
          <w:ilvl w:val="0"/>
          <w:numId w:val="0"/>
        </w:numPr>
        <w:ind w:left="1134"/>
      </w:pPr>
      <m:oMath>
        <m:func>
          <m:funcPr>
            <m:ctrlPr>
              <w:rPr>
                <w:rFonts w:ascii="Cambria Math" w:hAnsi="Cambria Math"/>
                <w:lang w:eastAsia="zh-CN"/>
              </w:rPr>
            </m:ctrlPr>
          </m:funcPr>
          <m:fName>
            <m:r>
              <m:rPr>
                <m:sty m:val="p"/>
              </m:rPr>
              <w:rPr>
                <w:rFonts w:ascii="Cambria Math" w:hAnsi="Cambria Math"/>
              </w:rPr>
              <m:t>sin</m:t>
            </m:r>
          </m:fName>
          <m:e>
            <m:sSup>
              <m:sSupPr>
                <m:ctrlPr>
                  <w:rPr>
                    <w:rFonts w:ascii="Cambria Math" w:hAnsi="Cambria Math"/>
                    <w:lang w:eastAsia="zh-CN"/>
                  </w:rPr>
                </m:ctrlPr>
              </m:sSupPr>
              <m:e>
                <m:r>
                  <w:rPr>
                    <w:rFonts w:ascii="Cambria Math" w:hAnsi="Cambria Math"/>
                  </w:rPr>
                  <m:t>30</m:t>
                </m:r>
              </m:e>
              <m:sup>
                <m:r>
                  <w:rPr>
                    <w:rFonts w:ascii="Cambria Math" w:hAnsi="Cambria Math"/>
                  </w:rPr>
                  <m:t>o</m:t>
                </m:r>
              </m:sup>
            </m:sSup>
          </m:e>
        </m:func>
      </m:oMath>
      <w:r w:rsidR="00660229" w:rsidRPr="00105FD4">
        <w:t xml:space="preserve"> is equal to …</w:t>
      </w:r>
    </w:p>
    <w:p w14:paraId="44B7C626" w14:textId="1CF56E78" w:rsidR="00660229" w:rsidRPr="00105FD4" w:rsidRDefault="00660229" w:rsidP="00105FD4">
      <w:pPr>
        <w:pStyle w:val="ListNumber2"/>
      </w:pPr>
      <w:r w:rsidRPr="00105FD4">
        <w:t>Draw a second right-angled triangle with a different angle instead of</w:t>
      </w:r>
      <w:r w:rsidR="00D3621E">
        <w:t xml:space="preserve"> 30°</w:t>
      </w:r>
      <w:r w:rsidRPr="00105FD4">
        <w:t>.</w:t>
      </w:r>
    </w:p>
    <w:p w14:paraId="3695826D" w14:textId="6E07E886" w:rsidR="00105FD4" w:rsidRDefault="00660229" w:rsidP="00105FD4">
      <w:pPr>
        <w:pStyle w:val="ListNumber2"/>
      </w:pPr>
      <w:r w:rsidRPr="00105FD4">
        <w:t>Measur</w:t>
      </w:r>
      <w:r w:rsidR="006A3193" w:rsidRPr="00105FD4">
        <w:t>e</w:t>
      </w:r>
      <w:r w:rsidRPr="00105FD4">
        <w:t xml:space="preserve"> and mark all the sides and angles, and us</w:t>
      </w:r>
      <w:r w:rsidR="006A3193" w:rsidRPr="00105FD4">
        <w:t>e</w:t>
      </w:r>
      <w:r w:rsidRPr="00105FD4">
        <w:t xml:space="preserve"> a calculator to find </w:t>
      </w:r>
      <w:r w:rsidRPr="00495795">
        <w:rPr>
          <w:i/>
          <w:iCs/>
        </w:rPr>
        <w:t>sin</w:t>
      </w:r>
      <w:r w:rsidRPr="00105FD4">
        <w:t xml:space="preserve"> of your new angle.</w:t>
      </w:r>
    </w:p>
    <w:p w14:paraId="51E66B4A" w14:textId="34C64D70" w:rsidR="00FF6A4C" w:rsidRDefault="00A419EC" w:rsidP="00105FD4">
      <w:pPr>
        <w:pStyle w:val="ListNumber2"/>
        <w:numPr>
          <w:ilvl w:val="0"/>
          <w:numId w:val="0"/>
        </w:numPr>
        <w:ind w:left="1134"/>
      </w:pPr>
      <w:r>
        <w:t>For example:</w:t>
      </w:r>
    </w:p>
    <w:p w14:paraId="0D24BECE" w14:textId="5EFF7A91" w:rsidR="00660229" w:rsidRDefault="00FF6A4C" w:rsidP="00B864DF">
      <w:pPr>
        <w:pStyle w:val="ListBullet"/>
        <w:numPr>
          <w:ilvl w:val="0"/>
          <w:numId w:val="0"/>
        </w:numPr>
        <w:ind w:left="1004"/>
      </w:pPr>
      <w:r>
        <w:rPr>
          <w:noProof/>
        </w:rPr>
        <w:drawing>
          <wp:inline distT="0" distB="0" distL="0" distR="0" wp14:anchorId="41F89879" wp14:editId="3CB7BBB3">
            <wp:extent cx="3732317" cy="1579418"/>
            <wp:effectExtent l="0" t="0" r="1905" b="1905"/>
            <wp:docPr id="13" name="Picture 13" descr="A right angled triangle next to the text sin38 =0.616. The right angled triangle has two acute angles, 38 degrees and 52 degrees. The hypotenuse is 4.9 cm, the side between 38 degrees and the right angle is 3.8 cm and the remaining side is 3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ight angled triangle next to the text sin38 =0.616. The right angled triangle has two acute angles, 38 degrees and 52 degrees. The hypotenuse is 4.9 cm, the side between 38 degrees and the right angle is 3.8 cm and the remaining side is 3cm. "/>
                    <pic:cNvPicPr/>
                  </pic:nvPicPr>
                  <pic:blipFill>
                    <a:blip r:embed="rId35"/>
                    <a:stretch>
                      <a:fillRect/>
                    </a:stretch>
                  </pic:blipFill>
                  <pic:spPr>
                    <a:xfrm>
                      <a:off x="0" y="0"/>
                      <a:ext cx="3778030" cy="1598763"/>
                    </a:xfrm>
                    <a:prstGeom prst="rect">
                      <a:avLst/>
                    </a:prstGeom>
                  </pic:spPr>
                </pic:pic>
              </a:graphicData>
            </a:graphic>
          </wp:inline>
        </w:drawing>
      </w:r>
    </w:p>
    <w:p w14:paraId="55B8AAE5" w14:textId="2EA2DEB7" w:rsidR="00660229" w:rsidRPr="00105FD4" w:rsidRDefault="006A3193" w:rsidP="00105FD4">
      <w:pPr>
        <w:pStyle w:val="ListNumber2"/>
      </w:pPr>
      <w:r w:rsidRPr="00105FD4">
        <w:t xml:space="preserve">Does your new </w:t>
      </w:r>
      <w:r w:rsidRPr="00495795">
        <w:rPr>
          <w:i/>
          <w:iCs/>
        </w:rPr>
        <w:t>sin</w:t>
      </w:r>
      <w:r w:rsidRPr="00105FD4">
        <w:t xml:space="preserve"> value work the same in this triangle?</w:t>
      </w:r>
    </w:p>
    <w:p w14:paraId="19F0A300" w14:textId="77777777" w:rsidR="00105FD4" w:rsidRPr="00105FD4" w:rsidRDefault="00660229" w:rsidP="00105FD4">
      <w:pPr>
        <w:pStyle w:val="ListNumber2"/>
      </w:pPr>
      <w:r w:rsidRPr="00105FD4">
        <w:lastRenderedPageBreak/>
        <w:t>Describ</w:t>
      </w:r>
      <w:r w:rsidR="006A3193" w:rsidRPr="00105FD4">
        <w:t>e</w:t>
      </w:r>
      <w:r w:rsidRPr="00105FD4">
        <w:t xml:space="preserve"> what </w:t>
      </w:r>
      <m:oMath>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oMath>
      <w:r w:rsidRPr="00105FD4">
        <w:t xml:space="preserve"> is with relation to a right-angled triangle.</w:t>
      </w:r>
    </w:p>
    <w:p w14:paraId="2880E6AA" w14:textId="2FFA9421" w:rsidR="00660229" w:rsidRPr="00105FD4" w:rsidRDefault="00000000" w:rsidP="00105FD4">
      <w:pPr>
        <w:pStyle w:val="ListNumber2"/>
        <w:numPr>
          <w:ilvl w:val="0"/>
          <w:numId w:val="0"/>
        </w:numPr>
        <w:ind w:left="1134"/>
      </w:pPr>
      <m:oMathPara>
        <m:oMathParaPr>
          <m:jc m:val="left"/>
        </m:oMathParaPr>
        <m:oMath>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r>
            <w:rPr>
              <w:rFonts w:ascii="Cambria Math" w:hAnsi="Cambria Math"/>
            </w:rPr>
            <m:t>=</m:t>
          </m:r>
        </m:oMath>
      </m:oMathPara>
    </w:p>
    <w:p w14:paraId="39E8797B" w14:textId="462E3A93" w:rsidR="006A3193" w:rsidRPr="00105FD4" w:rsidRDefault="006A3193" w:rsidP="00105FD4">
      <w:pPr>
        <w:pStyle w:val="Heading3"/>
      </w:pPr>
      <w:r>
        <w:t>The cosine ratio</w:t>
      </w:r>
    </w:p>
    <w:p w14:paraId="1B303EBB" w14:textId="77777777" w:rsidR="00105FD4" w:rsidRPr="00105FD4" w:rsidRDefault="006A3193" w:rsidP="00105FD4">
      <w:pPr>
        <w:pStyle w:val="ListNumber"/>
        <w:numPr>
          <w:ilvl w:val="0"/>
          <w:numId w:val="27"/>
        </w:numPr>
      </w:pPr>
      <w:r w:rsidRPr="00105FD4">
        <w:t xml:space="preserve">Find the value of </w:t>
      </w:r>
      <m:oMath>
        <m:func>
          <m:funcPr>
            <m:ctrlPr>
              <w:rPr>
                <w:rFonts w:ascii="Cambria Math" w:hAnsi="Cambria Math"/>
                <w:lang w:eastAsia="zh-CN"/>
              </w:rPr>
            </m:ctrlPr>
          </m:funcPr>
          <m:fName>
            <m:r>
              <m:rPr>
                <m:sty m:val="p"/>
              </m:rPr>
              <w:rPr>
                <w:rFonts w:ascii="Cambria Math" w:hAnsi="Cambria Math"/>
              </w:rPr>
              <m:t>cos</m:t>
            </m:r>
          </m:fName>
          <m:e>
            <m:sSup>
              <m:sSupPr>
                <m:ctrlPr>
                  <w:rPr>
                    <w:rFonts w:ascii="Cambria Math" w:hAnsi="Cambria Math"/>
                    <w:lang w:eastAsia="zh-CN"/>
                  </w:rPr>
                </m:ctrlPr>
              </m:sSupPr>
              <m:e>
                <m:r>
                  <w:rPr>
                    <w:rFonts w:ascii="Cambria Math" w:hAnsi="Cambria Math"/>
                  </w:rPr>
                  <m:t>60</m:t>
                </m:r>
              </m:e>
              <m:sup>
                <m:r>
                  <w:rPr>
                    <w:rFonts w:ascii="Cambria Math" w:hAnsi="Cambria Math"/>
                  </w:rPr>
                  <m:t>o</m:t>
                </m:r>
              </m:sup>
            </m:sSup>
          </m:e>
        </m:func>
      </m:oMath>
      <w:r w:rsidRPr="00105FD4">
        <w:t xml:space="preserve"> by typing this into your calculator.</w:t>
      </w:r>
    </w:p>
    <w:p w14:paraId="2689477D" w14:textId="1CF91891" w:rsidR="006A3193" w:rsidRPr="00105FD4" w:rsidRDefault="00000000" w:rsidP="00105FD4">
      <w:pPr>
        <w:pStyle w:val="ListNumber"/>
        <w:numPr>
          <w:ilvl w:val="0"/>
          <w:numId w:val="0"/>
        </w:numPr>
        <w:ind w:left="567"/>
      </w:pPr>
      <m:oMathPara>
        <m:oMathParaPr>
          <m:jc m:val="left"/>
        </m:oMathParaPr>
        <m:oMath>
          <m:func>
            <m:funcPr>
              <m:ctrlPr>
                <w:rPr>
                  <w:rFonts w:ascii="Cambria Math" w:hAnsi="Cambria Math"/>
                  <w:lang w:eastAsia="zh-CN"/>
                </w:rPr>
              </m:ctrlPr>
            </m:funcPr>
            <m:fName>
              <m:r>
                <m:rPr>
                  <m:sty m:val="p"/>
                </m:rPr>
                <w:rPr>
                  <w:rFonts w:ascii="Cambria Math" w:hAnsi="Cambria Math"/>
                </w:rPr>
                <m:t>cos</m:t>
              </m:r>
            </m:fName>
            <m:e>
              <m:sSup>
                <m:sSupPr>
                  <m:ctrlPr>
                    <w:rPr>
                      <w:rFonts w:ascii="Cambria Math" w:hAnsi="Cambria Math"/>
                      <w:lang w:eastAsia="zh-CN"/>
                    </w:rPr>
                  </m:ctrlPr>
                </m:sSupPr>
                <m:e>
                  <m:r>
                    <w:rPr>
                      <w:rFonts w:ascii="Cambria Math" w:hAnsi="Cambria Math"/>
                    </w:rPr>
                    <m:t>60</m:t>
                  </m:r>
                </m:e>
                <m:sup>
                  <m:r>
                    <w:rPr>
                      <w:rFonts w:ascii="Cambria Math" w:hAnsi="Cambria Math"/>
                    </w:rPr>
                    <m:t>o</m:t>
                  </m:r>
                </m:sup>
              </m:sSup>
            </m:e>
          </m:func>
          <m:r>
            <w:rPr>
              <w:rFonts w:ascii="Cambria Math" w:hAnsi="Cambria Math"/>
            </w:rPr>
            <m:t>=</m:t>
          </m:r>
        </m:oMath>
      </m:oMathPara>
    </w:p>
    <w:p w14:paraId="7B885E26" w14:textId="4FE14120" w:rsidR="006A3193" w:rsidRPr="00105FD4" w:rsidRDefault="006A3193" w:rsidP="00105FD4">
      <w:pPr>
        <w:pStyle w:val="ListNumber2"/>
        <w:numPr>
          <w:ilvl w:val="0"/>
          <w:numId w:val="28"/>
        </w:numPr>
      </w:pPr>
      <w:r w:rsidRPr="00105FD4">
        <w:t xml:space="preserve">Draw a </w:t>
      </w:r>
      <m:oMath>
        <m:sSup>
          <m:sSupPr>
            <m:ctrlPr>
              <w:rPr>
                <w:rFonts w:ascii="Cambria Math" w:hAnsi="Cambria Math"/>
                <w:lang w:eastAsia="zh-CN"/>
              </w:rPr>
            </m:ctrlPr>
          </m:sSupPr>
          <m:e>
            <m:r>
              <w:rPr>
                <w:rFonts w:ascii="Cambria Math" w:hAnsi="Cambria Math"/>
              </w:rPr>
              <m:t>60</m:t>
            </m:r>
          </m:e>
          <m:sup>
            <m:r>
              <w:rPr>
                <w:rFonts w:ascii="Cambria Math" w:hAnsi="Cambria Math"/>
              </w:rPr>
              <m:t>o</m:t>
            </m:r>
          </m:sup>
        </m:sSup>
      </m:oMath>
      <w:r w:rsidRPr="00105FD4">
        <w:t xml:space="preserve"> angle</w:t>
      </w:r>
      <w:r w:rsidR="00A419EC" w:rsidRPr="00105FD4">
        <w:t>.</w:t>
      </w:r>
    </w:p>
    <w:p w14:paraId="3990CC8B" w14:textId="0F8C3967" w:rsidR="006A3193" w:rsidRPr="00105FD4" w:rsidRDefault="006A3193" w:rsidP="00105FD4">
      <w:pPr>
        <w:pStyle w:val="ListNumber2"/>
      </w:pPr>
      <w:r w:rsidRPr="00105FD4">
        <w:t>Use this angle to form a right-angled triangle</w:t>
      </w:r>
      <w:r w:rsidR="00A419EC" w:rsidRPr="00105FD4">
        <w:t>.</w:t>
      </w:r>
    </w:p>
    <w:p w14:paraId="6761164E" w14:textId="77777777" w:rsidR="00105FD4" w:rsidRDefault="006A3193" w:rsidP="00105FD4">
      <w:pPr>
        <w:pStyle w:val="ListNumber2"/>
      </w:pPr>
      <w:r w:rsidRPr="00105FD4">
        <w:t>Measure and mark all sides and angles. It should look something like the triangle below, with different numbers.</w:t>
      </w:r>
    </w:p>
    <w:p w14:paraId="1701F709" w14:textId="7840C20B" w:rsidR="00105FD4" w:rsidRDefault="00A419EC" w:rsidP="00105FD4">
      <w:pPr>
        <w:pStyle w:val="ListNumber2"/>
        <w:numPr>
          <w:ilvl w:val="0"/>
          <w:numId w:val="0"/>
        </w:numPr>
        <w:ind w:left="1134"/>
      </w:pPr>
      <w:r>
        <w:rPr>
          <w:lang w:eastAsia="zh-CN"/>
        </w:rPr>
        <w:t>For example:</w:t>
      </w:r>
    </w:p>
    <w:p w14:paraId="0303CA57" w14:textId="6D7C8FF0" w:rsidR="006A3193" w:rsidRPr="001B1751" w:rsidRDefault="001B1751" w:rsidP="00105FD4">
      <w:pPr>
        <w:pStyle w:val="ListBullet"/>
        <w:numPr>
          <w:ilvl w:val="0"/>
          <w:numId w:val="0"/>
        </w:numPr>
        <w:ind w:left="1004"/>
        <w:rPr>
          <w:lang w:eastAsia="zh-CN"/>
        </w:rPr>
      </w:pPr>
      <w:r w:rsidRPr="001B1751">
        <w:rPr>
          <w:noProof/>
        </w:rPr>
        <w:drawing>
          <wp:inline distT="0" distB="0" distL="0" distR="0" wp14:anchorId="6004FBC1" wp14:editId="11F3D049">
            <wp:extent cx="2386247" cy="2695575"/>
            <wp:effectExtent l="0" t="0" r="0" b="0"/>
            <wp:docPr id="11" name="Picture 11" descr="A right angled triangle with two acute angles 30 degrees and 60 degrees. The hypotenuse is 12 cm, the side between the right angle and the angle 60 degrees is 6cm, the remaining side is 10.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399195" cy="2710201"/>
                    </a:xfrm>
                    <a:prstGeom prst="rect">
                      <a:avLst/>
                    </a:prstGeom>
                  </pic:spPr>
                </pic:pic>
              </a:graphicData>
            </a:graphic>
          </wp:inline>
        </w:drawing>
      </w:r>
    </w:p>
    <w:p w14:paraId="437616EA" w14:textId="4CC89795" w:rsidR="006A3193" w:rsidRPr="00105FD4" w:rsidRDefault="006A3193" w:rsidP="00105FD4">
      <w:pPr>
        <w:pStyle w:val="ListNumber2"/>
      </w:pPr>
      <w:r w:rsidRPr="00105FD4">
        <w:t xml:space="preserve">Can you find any relationship equal to </w:t>
      </w:r>
      <m:oMath>
        <m:f>
          <m:fPr>
            <m:ctrlPr>
              <w:rPr>
                <w:rFonts w:ascii="Cambria Math" w:hAnsi="Cambria Math"/>
                <w:lang w:eastAsia="zh-CN"/>
              </w:rPr>
            </m:ctrlPr>
          </m:fPr>
          <m:num>
            <m:r>
              <w:rPr>
                <w:rFonts w:ascii="Cambria Math" w:hAnsi="Cambria Math"/>
              </w:rPr>
              <m:t>1</m:t>
            </m:r>
          </m:num>
          <m:den>
            <m:r>
              <w:rPr>
                <w:rFonts w:ascii="Cambria Math" w:hAnsi="Cambria Math"/>
              </w:rPr>
              <m:t>2</m:t>
            </m:r>
          </m:den>
        </m:f>
      </m:oMath>
      <w:r w:rsidRPr="00105FD4">
        <w:t xml:space="preserve"> (because </w:t>
      </w:r>
      <m:oMath>
        <m:func>
          <m:funcPr>
            <m:ctrlPr>
              <w:rPr>
                <w:rFonts w:ascii="Cambria Math" w:hAnsi="Cambria Math"/>
                <w:lang w:eastAsia="zh-CN"/>
              </w:rPr>
            </m:ctrlPr>
          </m:funcPr>
          <m:fName>
            <m:r>
              <m:rPr>
                <m:sty m:val="p"/>
              </m:rPr>
              <w:rPr>
                <w:rFonts w:ascii="Cambria Math" w:hAnsi="Cambria Math"/>
              </w:rPr>
              <m:t>cos</m:t>
            </m:r>
          </m:fName>
          <m:e>
            <m:sSup>
              <m:sSupPr>
                <m:ctrlPr>
                  <w:rPr>
                    <w:rFonts w:ascii="Cambria Math" w:hAnsi="Cambria Math"/>
                    <w:lang w:eastAsia="zh-CN"/>
                  </w:rPr>
                </m:ctrlPr>
              </m:sSupPr>
              <m:e>
                <m:r>
                  <w:rPr>
                    <w:rFonts w:ascii="Cambria Math" w:hAnsi="Cambria Math"/>
                  </w:rPr>
                  <m:t>60</m:t>
                </m:r>
              </m:e>
              <m:sup>
                <m:r>
                  <w:rPr>
                    <w:rFonts w:ascii="Cambria Math" w:hAnsi="Cambria Math"/>
                  </w:rPr>
                  <m:t>o</m:t>
                </m:r>
              </m:sup>
            </m:sSup>
          </m:e>
        </m:func>
        <m:r>
          <w:rPr>
            <w:rFonts w:ascii="Cambria Math" w:hAnsi="Cambria Math"/>
          </w:rPr>
          <m:t>=</m:t>
        </m:r>
        <m:f>
          <m:fPr>
            <m:ctrlPr>
              <w:rPr>
                <w:rFonts w:ascii="Cambria Math" w:hAnsi="Cambria Math"/>
                <w:lang w:eastAsia="zh-CN"/>
              </w:rPr>
            </m:ctrlPr>
          </m:fPr>
          <m:num>
            <m:r>
              <w:rPr>
                <w:rFonts w:ascii="Cambria Math" w:hAnsi="Cambria Math"/>
              </w:rPr>
              <m:t>1</m:t>
            </m:r>
          </m:num>
          <m:den>
            <m:r>
              <w:rPr>
                <w:rFonts w:ascii="Cambria Math" w:hAnsi="Cambria Math"/>
              </w:rPr>
              <m:t>2</m:t>
            </m:r>
          </m:den>
        </m:f>
      </m:oMath>
      <w:r w:rsidRPr="00105FD4">
        <w:t>)</w:t>
      </w:r>
      <w:r w:rsidR="00A419EC" w:rsidRPr="00105FD4">
        <w:t>?</w:t>
      </w:r>
    </w:p>
    <w:p w14:paraId="2459E867" w14:textId="45C25F23" w:rsidR="006A3193" w:rsidRPr="00105FD4" w:rsidRDefault="006A3193" w:rsidP="00105FD4">
      <w:pPr>
        <w:pStyle w:val="ListNumber2"/>
      </w:pPr>
      <w:r w:rsidRPr="00105FD4">
        <w:t>Write down your hypothesis</w:t>
      </w:r>
      <w:r w:rsidR="00A419EC" w:rsidRPr="00105FD4">
        <w:t>.</w:t>
      </w:r>
    </w:p>
    <w:p w14:paraId="3DB130B4" w14:textId="77777777" w:rsidR="00F27832" w:rsidRDefault="00F27832">
      <w:pPr>
        <w:rPr>
          <w:lang w:eastAsia="zh-CN"/>
        </w:rPr>
      </w:pPr>
      <w:r>
        <w:rPr>
          <w:lang w:eastAsia="zh-CN"/>
        </w:rPr>
        <w:br w:type="page"/>
      </w:r>
    </w:p>
    <w:p w14:paraId="28357649" w14:textId="1ED071F9" w:rsidR="006A3193" w:rsidRPr="00105FD4" w:rsidRDefault="006A3193" w:rsidP="00105FD4">
      <w:pPr>
        <w:pStyle w:val="ListNumber"/>
      </w:pPr>
      <w:r w:rsidRPr="00105FD4">
        <w:lastRenderedPageBreak/>
        <w:t xml:space="preserve">Draw a second right-angled triangle with a different angle instead of </w:t>
      </w:r>
      <m:oMath>
        <m:sSup>
          <m:sSupPr>
            <m:ctrlPr>
              <w:rPr>
                <w:rFonts w:ascii="Cambria Math" w:hAnsi="Cambria Math"/>
                <w:lang w:eastAsia="zh-CN"/>
              </w:rPr>
            </m:ctrlPr>
          </m:sSupPr>
          <m:e>
            <m:r>
              <w:rPr>
                <w:rFonts w:ascii="Cambria Math" w:hAnsi="Cambria Math"/>
              </w:rPr>
              <m:t>60</m:t>
            </m:r>
          </m:e>
          <m:sup>
            <m:r>
              <w:rPr>
                <w:rFonts w:ascii="Cambria Math" w:hAnsi="Cambria Math"/>
              </w:rPr>
              <m:t>o</m:t>
            </m:r>
          </m:sup>
        </m:sSup>
      </m:oMath>
      <w:r w:rsidRPr="00105FD4">
        <w:t>.</w:t>
      </w:r>
    </w:p>
    <w:p w14:paraId="4DF270BA" w14:textId="5EB7AAEC" w:rsidR="00105FD4" w:rsidRPr="00105FD4" w:rsidRDefault="006A3193" w:rsidP="00105FD4">
      <w:pPr>
        <w:pStyle w:val="ListNumber"/>
        <w:numPr>
          <w:ilvl w:val="0"/>
          <w:numId w:val="0"/>
        </w:numPr>
        <w:ind w:left="567"/>
      </w:pPr>
      <w:r w:rsidRPr="00105FD4">
        <w:t xml:space="preserve">Measure and mark all the sides and angles and use a calculator to find </w:t>
      </w:r>
      <w:r w:rsidRPr="00777434">
        <w:rPr>
          <w:i/>
          <w:iCs/>
        </w:rPr>
        <w:t>cos</w:t>
      </w:r>
      <w:r w:rsidRPr="00105FD4">
        <w:t xml:space="preserve"> of your new angle.</w:t>
      </w:r>
    </w:p>
    <w:p w14:paraId="71A63C4D" w14:textId="35926EE2" w:rsidR="00460A1D" w:rsidRPr="00105FD4" w:rsidRDefault="00A419EC" w:rsidP="00105FD4">
      <w:pPr>
        <w:pStyle w:val="ListNumber"/>
        <w:numPr>
          <w:ilvl w:val="0"/>
          <w:numId w:val="0"/>
        </w:numPr>
        <w:ind w:left="567"/>
      </w:pPr>
      <w:r w:rsidRPr="00105FD4">
        <w:t>For example:</w:t>
      </w:r>
    </w:p>
    <w:p w14:paraId="26079135" w14:textId="34FE26DD" w:rsidR="006A3193" w:rsidRPr="001B1751" w:rsidRDefault="00460A1D" w:rsidP="006A3193">
      <w:pPr>
        <w:pStyle w:val="ListBullet"/>
        <w:numPr>
          <w:ilvl w:val="0"/>
          <w:numId w:val="0"/>
        </w:numPr>
        <w:ind w:left="1004"/>
      </w:pPr>
      <w:r>
        <w:rPr>
          <w:noProof/>
        </w:rPr>
        <w:drawing>
          <wp:inline distT="0" distB="0" distL="0" distR="0" wp14:anchorId="4B25F9BF" wp14:editId="015CDA07">
            <wp:extent cx="3670601" cy="2660347"/>
            <wp:effectExtent l="0" t="0" r="6350" b="6985"/>
            <wp:docPr id="6" name="Picture 6" descr="A right angled triangle next to the text &quot;cos55=0.574. The right angled triangle has two acute angles 55 degrees and 35 degrees. The hypotenuse is labelled 10cm, the side between the right angle and the angle 55 degrees is 5.7 cm and the remaining side is 8.2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ight angled triangle next to the text &quot;cos55=0.574. The right angled triangle has two acute angles 55 degrees and 35 degrees. The hypotenuse is labelled 10cm, the side between the right angle and the angle 55 degrees is 5.7 cm and the remaining side is 8.2 cm. "/>
                    <pic:cNvPicPr/>
                  </pic:nvPicPr>
                  <pic:blipFill>
                    <a:blip r:embed="rId37"/>
                    <a:stretch>
                      <a:fillRect/>
                    </a:stretch>
                  </pic:blipFill>
                  <pic:spPr>
                    <a:xfrm>
                      <a:off x="0" y="0"/>
                      <a:ext cx="3679673" cy="2666922"/>
                    </a:xfrm>
                    <a:prstGeom prst="rect">
                      <a:avLst/>
                    </a:prstGeom>
                  </pic:spPr>
                </pic:pic>
              </a:graphicData>
            </a:graphic>
          </wp:inline>
        </w:drawing>
      </w:r>
    </w:p>
    <w:p w14:paraId="0B5A6B0F" w14:textId="7871A0A6" w:rsidR="006A3193" w:rsidRPr="00105FD4" w:rsidRDefault="006A3193" w:rsidP="005C3A7E">
      <w:pPr>
        <w:pStyle w:val="ListNumber2"/>
        <w:numPr>
          <w:ilvl w:val="0"/>
          <w:numId w:val="29"/>
        </w:numPr>
      </w:pPr>
      <w:r w:rsidRPr="00105FD4">
        <w:t xml:space="preserve">Does your new </w:t>
      </w:r>
      <w:r w:rsidRPr="00777434">
        <w:rPr>
          <w:i/>
          <w:iCs/>
        </w:rPr>
        <w:t>cos</w:t>
      </w:r>
      <w:r w:rsidRPr="00105FD4">
        <w:t xml:space="preserve"> value work the same in this triangle?</w:t>
      </w:r>
    </w:p>
    <w:p w14:paraId="43175D37" w14:textId="77777777" w:rsidR="00105FD4" w:rsidRPr="00105FD4" w:rsidRDefault="006A3193" w:rsidP="00105FD4">
      <w:pPr>
        <w:pStyle w:val="ListNumber2"/>
      </w:pPr>
      <w:r w:rsidRPr="00105FD4">
        <w:t xml:space="preserve">Describe what </w:t>
      </w:r>
      <m:oMath>
        <m:func>
          <m:funcPr>
            <m:ctrlPr>
              <w:rPr>
                <w:rFonts w:ascii="Cambria Math" w:hAnsi="Cambria Math"/>
              </w:rPr>
            </m:ctrlPr>
          </m:funcPr>
          <m:fName>
            <m:r>
              <m:rPr>
                <m:sty m:val="p"/>
              </m:rPr>
              <w:rPr>
                <w:rFonts w:ascii="Cambria Math" w:hAnsi="Cambria Math"/>
              </w:rPr>
              <m:t>cos</m:t>
            </m:r>
          </m:fName>
          <m:e>
            <m:r>
              <w:rPr>
                <w:rFonts w:ascii="Cambria Math" w:hAnsi="Cambria Math"/>
              </w:rPr>
              <m:t>θ</m:t>
            </m:r>
          </m:e>
        </m:func>
      </m:oMath>
      <w:r w:rsidRPr="00105FD4">
        <w:t xml:space="preserve"> is with relation to a right-angled triangle.</w:t>
      </w:r>
    </w:p>
    <w:p w14:paraId="1C42B457" w14:textId="34A900BF" w:rsidR="00660229" w:rsidRPr="00B84B59" w:rsidRDefault="00000000" w:rsidP="00105FD4">
      <w:pPr>
        <w:pStyle w:val="ListNumber2"/>
        <w:numPr>
          <w:ilvl w:val="0"/>
          <w:numId w:val="0"/>
        </w:numPr>
        <w:ind w:left="1134"/>
        <w:rPr>
          <w:rFonts w:eastAsiaTheme="minorEastAsia"/>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hAnsi="Cambria Math"/>
                </w:rPr>
                <m:t>θ</m:t>
              </m:r>
            </m:e>
          </m:func>
          <m:r>
            <w:rPr>
              <w:rFonts w:ascii="Cambria Math" w:hAnsi="Cambria Math"/>
            </w:rPr>
            <m:t>=</m:t>
          </m:r>
        </m:oMath>
      </m:oMathPara>
    </w:p>
    <w:p w14:paraId="28A5F8DC" w14:textId="77777777" w:rsidR="00B84B59" w:rsidRDefault="00B84B59" w:rsidP="00B84B59">
      <w:pPr>
        <w:pStyle w:val="ListNumber2"/>
        <w:numPr>
          <w:ilvl w:val="0"/>
          <w:numId w:val="0"/>
        </w:numPr>
        <w:sectPr w:rsidR="00B84B59" w:rsidSect="00586070">
          <w:headerReference w:type="even" r:id="rId38"/>
          <w:headerReference w:type="default" r:id="rId39"/>
          <w:footerReference w:type="even" r:id="rId40"/>
          <w:footerReference w:type="default" r:id="rId41"/>
          <w:headerReference w:type="first" r:id="rId42"/>
          <w:footerReference w:type="first" r:id="rId43"/>
          <w:pgSz w:w="11900" w:h="16840"/>
          <w:pgMar w:top="1134" w:right="1134" w:bottom="1134" w:left="1134" w:header="709" w:footer="709" w:gutter="0"/>
          <w:pgNumType w:start="1"/>
          <w:cols w:space="708"/>
          <w:titlePg/>
          <w:docGrid w:linePitch="360"/>
        </w:sectPr>
      </w:pPr>
    </w:p>
    <w:p w14:paraId="05F89577" w14:textId="77777777" w:rsidR="007014BA" w:rsidRPr="00EF7698" w:rsidRDefault="007014BA" w:rsidP="007014BA">
      <w:pPr>
        <w:rPr>
          <w:rStyle w:val="Strong"/>
        </w:rPr>
      </w:pPr>
      <w:r w:rsidRPr="00EF7698">
        <w:rPr>
          <w:rStyle w:val="Strong"/>
          <w:sz w:val="28"/>
          <w:szCs w:val="28"/>
        </w:rPr>
        <w:lastRenderedPageBreak/>
        <w:t>© State of New South Wales (Department of Education), 2023</w:t>
      </w:r>
    </w:p>
    <w:p w14:paraId="2C8AA6A3" w14:textId="77777777" w:rsidR="007014BA" w:rsidRPr="000F46D1" w:rsidRDefault="007014BA" w:rsidP="007014BA">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5E277BBA" w14:textId="77777777" w:rsidR="007014BA" w:rsidRDefault="007014BA" w:rsidP="007014BA">
      <w:pPr>
        <w:spacing w:line="300" w:lineRule="auto"/>
        <w:rPr>
          <w:lang w:eastAsia="en-AU"/>
        </w:rPr>
      </w:pPr>
      <w:r w:rsidRPr="000F46D1">
        <w:rPr>
          <w:lang w:eastAsia="en-AU"/>
        </w:rPr>
        <w:t xml:space="preserve">Copyright material available in this resource and owned by the NSW Department of Education is licensed under a </w:t>
      </w:r>
      <w:hyperlink r:id="rId44" w:history="1">
        <w:r w:rsidRPr="005F2331">
          <w:rPr>
            <w:rStyle w:val="Hyperlink"/>
          </w:rPr>
          <w:t>Creative Commons Attribution 4.0 International (CC BY 4.0) licence</w:t>
        </w:r>
      </w:hyperlink>
      <w:r w:rsidRPr="005F2331">
        <w:t>.</w:t>
      </w:r>
    </w:p>
    <w:p w14:paraId="2BC27779" w14:textId="77777777" w:rsidR="007014BA" w:rsidRPr="000F46D1" w:rsidRDefault="007014BA" w:rsidP="007014BA">
      <w:pPr>
        <w:spacing w:line="300" w:lineRule="auto"/>
        <w:rPr>
          <w:lang w:eastAsia="en-AU"/>
        </w:rPr>
      </w:pPr>
      <w:r>
        <w:rPr>
          <w:noProof/>
        </w:rPr>
        <w:drawing>
          <wp:inline distT="0" distB="0" distL="0" distR="0" wp14:anchorId="4DE3135F" wp14:editId="1B6B1508">
            <wp:extent cx="1228725" cy="428625"/>
            <wp:effectExtent l="0" t="0" r="9525" b="9525"/>
            <wp:docPr id="32" name="Picture 32" descr="Creative Commons Attribution licence log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E6E1BD2" w14:textId="77777777" w:rsidR="007014BA" w:rsidRDefault="007014BA" w:rsidP="007014BA">
      <w:pPr>
        <w:spacing w:line="300" w:lineRule="auto"/>
        <w:rPr>
          <w:lang w:eastAsia="en-AU"/>
        </w:rPr>
      </w:pPr>
      <w:r w:rsidRPr="000F46D1">
        <w:rPr>
          <w:lang w:eastAsia="en-AU"/>
        </w:rPr>
        <w:t>This licence allows you to share and adapt the material for any purpose, even commercially.</w:t>
      </w:r>
    </w:p>
    <w:p w14:paraId="412E3057" w14:textId="77777777" w:rsidR="007014BA" w:rsidRPr="000F46D1" w:rsidRDefault="007014BA" w:rsidP="007014BA">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24014669" w14:textId="77777777" w:rsidR="007014BA" w:rsidRPr="000F46D1" w:rsidRDefault="007014BA" w:rsidP="007014BA">
      <w:pPr>
        <w:spacing w:line="300" w:lineRule="auto"/>
        <w:rPr>
          <w:lang w:eastAsia="en-AU"/>
        </w:rPr>
      </w:pPr>
      <w:r w:rsidRPr="000F46D1">
        <w:rPr>
          <w:lang w:eastAsia="en-AU"/>
        </w:rPr>
        <w:t>Material in this resource not available under a Creative Commons licence:</w:t>
      </w:r>
    </w:p>
    <w:p w14:paraId="5FF6E496" w14:textId="77777777" w:rsidR="007014BA" w:rsidRPr="000F46D1" w:rsidRDefault="007014BA" w:rsidP="007014BA">
      <w:pPr>
        <w:pStyle w:val="ListBullet"/>
        <w:numPr>
          <w:ilvl w:val="0"/>
          <w:numId w:val="19"/>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1DAC4269" w14:textId="77777777" w:rsidR="007014BA" w:rsidRDefault="007014BA" w:rsidP="007014BA">
      <w:pPr>
        <w:pStyle w:val="ListBullet"/>
        <w:numPr>
          <w:ilvl w:val="0"/>
          <w:numId w:val="19"/>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747C698B" w14:textId="77777777" w:rsidR="007014BA" w:rsidRPr="00571DF7" w:rsidRDefault="007014BA" w:rsidP="007014BA">
      <w:pPr>
        <w:pStyle w:val="FeatureBox2"/>
        <w:spacing w:line="300" w:lineRule="auto"/>
        <w:rPr>
          <w:rStyle w:val="Strong"/>
        </w:rPr>
      </w:pPr>
      <w:r w:rsidRPr="00571DF7">
        <w:rPr>
          <w:rStyle w:val="Strong"/>
        </w:rPr>
        <w:t>Links to third-party material and websites</w:t>
      </w:r>
    </w:p>
    <w:p w14:paraId="63E9EA90" w14:textId="77777777" w:rsidR="007014BA" w:rsidRDefault="007014BA" w:rsidP="007014BA">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28E8151" w14:textId="508988E4" w:rsidR="00B84B59" w:rsidRPr="007014BA" w:rsidRDefault="007014BA" w:rsidP="007014BA">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B84B59" w:rsidRPr="007014BA" w:rsidSect="008E55E9">
      <w:footerReference w:type="even" r:id="rId46"/>
      <w:footerReference w:type="default" r:id="rId47"/>
      <w:headerReference w:type="first" r:id="rId48"/>
      <w:footerReference w:type="first" r:id="rId49"/>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63BE" w14:textId="77777777" w:rsidR="00D71A45" w:rsidRDefault="00D71A45">
      <w:r>
        <w:separator/>
      </w:r>
    </w:p>
    <w:p w14:paraId="3AEF618A" w14:textId="77777777" w:rsidR="00D71A45" w:rsidRDefault="00D71A45"/>
  </w:endnote>
  <w:endnote w:type="continuationSeparator" w:id="0">
    <w:p w14:paraId="510B69D8" w14:textId="77777777" w:rsidR="00D71A45" w:rsidRDefault="00D71A45">
      <w:r>
        <w:continuationSeparator/>
      </w:r>
    </w:p>
    <w:p w14:paraId="3DE854FE" w14:textId="77777777" w:rsidR="00D71A45" w:rsidRDefault="00D71A45"/>
  </w:endnote>
  <w:endnote w:type="continuationNotice" w:id="1">
    <w:p w14:paraId="56923909" w14:textId="77777777" w:rsidR="00D71A45" w:rsidRDefault="00D71A4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4BC2" w14:textId="2407B943" w:rsidR="00B864DF" w:rsidRPr="00811F44" w:rsidRDefault="00811F44" w:rsidP="00BC0D54">
    <w:pPr>
      <w:pStyle w:val="Footer"/>
      <w:spacing w:before="0"/>
      <w:ind w:right="-7"/>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05246">
      <w:rPr>
        <w:noProof/>
      </w:rPr>
      <w:t>Apr-23</w:t>
    </w:r>
    <w:r w:rsidRPr="00E56264">
      <w:fldChar w:fldCharType="end"/>
    </w:r>
    <w:r>
      <w:ptab w:relativeTo="margin" w:alignment="right" w:leader="none"/>
    </w:r>
    <w:r>
      <w:rPr>
        <w:b/>
        <w:bCs/>
        <w:noProof/>
        <w:sz w:val="28"/>
        <w:szCs w:val="28"/>
      </w:rPr>
      <w:drawing>
        <wp:inline distT="0" distB="0" distL="0" distR="0" wp14:anchorId="7298906E" wp14:editId="61E9BCF3">
          <wp:extent cx="561975" cy="196038"/>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26AE47E3" w:rsidR="00B864DF" w:rsidRPr="00811F44" w:rsidRDefault="00811F44" w:rsidP="00811F44">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05246">
      <w:rPr>
        <w:noProof/>
      </w:rPr>
      <w:t>Apr-23</w:t>
    </w:r>
    <w:r w:rsidRPr="00E56264">
      <w:fldChar w:fldCharType="end"/>
    </w:r>
    <w:r>
      <w:ptab w:relativeTo="margin" w:alignment="right" w:leader="none"/>
    </w:r>
    <w:r>
      <w:rPr>
        <w:b/>
        <w:bCs/>
        <w:noProof/>
        <w:sz w:val="28"/>
        <w:szCs w:val="28"/>
      </w:rPr>
      <w:drawing>
        <wp:inline distT="0" distB="0" distL="0" distR="0" wp14:anchorId="7F159BA1" wp14:editId="7B0058D6">
          <wp:extent cx="561975" cy="196038"/>
          <wp:effectExtent l="0" t="0" r="0" b="0"/>
          <wp:docPr id="4" name="Picture 4"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B864DF" w:rsidRDefault="00B864DF" w:rsidP="00BC0D54">
    <w:pPr>
      <w:pStyle w:val="Logo"/>
      <w:tabs>
        <w:tab w:val="clear" w:pos="10200"/>
        <w:tab w:val="right" w:pos="9639"/>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8E7F" w14:textId="19B101A4" w:rsidR="00F66145" w:rsidRPr="00E56264" w:rsidRDefault="00811F44"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05246">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40F19FFD"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13A7" w14:textId="77777777" w:rsidR="00F66145" w:rsidRDefault="00811F44"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2B2399A7"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A001"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A24C" w14:textId="77777777" w:rsidR="00D71A45" w:rsidRDefault="00D71A45">
      <w:r>
        <w:separator/>
      </w:r>
    </w:p>
    <w:p w14:paraId="12843D4A" w14:textId="77777777" w:rsidR="00D71A45" w:rsidRDefault="00D71A45"/>
  </w:footnote>
  <w:footnote w:type="continuationSeparator" w:id="0">
    <w:p w14:paraId="2B8EBFF4" w14:textId="77777777" w:rsidR="00D71A45" w:rsidRDefault="00D71A45">
      <w:r>
        <w:continuationSeparator/>
      </w:r>
    </w:p>
    <w:p w14:paraId="1E66BF65" w14:textId="77777777" w:rsidR="00D71A45" w:rsidRDefault="00D71A45"/>
  </w:footnote>
  <w:footnote w:type="continuationNotice" w:id="1">
    <w:p w14:paraId="544EEE01" w14:textId="77777777" w:rsidR="00D71A45" w:rsidRDefault="00D71A4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2413" w14:textId="497107AA" w:rsidR="00653149" w:rsidRDefault="00653149" w:rsidP="00653149">
    <w:pPr>
      <w:pStyle w:val="Footer"/>
      <w:spacing w:before="0" w:after="240"/>
    </w:pPr>
    <w:r w:rsidRPr="009D6697">
      <w:ptab w:relativeTo="margin" w:alignment="right" w:leader="none"/>
    </w:r>
    <w:r>
      <w:t xml:space="preserve">Mathematics Stage 5 – the </w:t>
    </w:r>
    <w:r w:rsidR="00E15173">
      <w:t>sine and cosine</w:t>
    </w:r>
    <w:r>
      <w:t xml:space="preserve"> ratio</w:t>
    </w:r>
    <w:r w:rsidR="00E15173">
      <w:t>s</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270C" w14:textId="2E1B9B85" w:rsidR="00653149" w:rsidRPr="009C5D58" w:rsidRDefault="009C5D58" w:rsidP="009C5D58">
    <w:pPr>
      <w:pStyle w:val="Footer"/>
      <w:spacing w:before="0" w:after="240"/>
    </w:pPr>
    <w:r w:rsidRPr="009D6697">
      <w:ptab w:relativeTo="margin" w:alignment="right" w:leader="none"/>
    </w:r>
    <w:r>
      <w:t xml:space="preserve">Mathematics Stage 5 – the sine and cosine ratios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B864DF" w:rsidRDefault="00B864DF">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06DB" w14:textId="77777777" w:rsidR="00EA4122" w:rsidRPr="00F14D7F" w:rsidRDefault="00000000" w:rsidP="00EF769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AE73AE6"/>
    <w:multiLevelType w:val="multilevel"/>
    <w:tmpl w:val="41F4947C"/>
    <w:lvl w:ilvl="0">
      <w:start w:val="1"/>
      <w:numFmt w:val="decimal"/>
      <w:lvlText w:val="%1."/>
      <w:lvlJc w:val="left"/>
      <w:pPr>
        <w:ind w:left="652" w:hanging="368"/>
      </w:pPr>
      <w:rPr>
        <w:color w:val="auto"/>
        <w:sz w:val="24"/>
        <w:szCs w:val="24"/>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956255499">
    <w:abstractNumId w:val="4"/>
  </w:num>
  <w:num w:numId="2" w16cid:durableId="1659193161">
    <w:abstractNumId w:val="2"/>
  </w:num>
  <w:num w:numId="3" w16cid:durableId="1872649745">
    <w:abstractNumId w:val="2"/>
  </w:num>
  <w:num w:numId="4" w16cid:durableId="567227969">
    <w:abstractNumId w:val="4"/>
  </w:num>
  <w:num w:numId="5" w16cid:durableId="174075594">
    <w:abstractNumId w:val="8"/>
  </w:num>
  <w:num w:numId="6" w16cid:durableId="180095815">
    <w:abstractNumId w:val="5"/>
  </w:num>
  <w:num w:numId="7" w16cid:durableId="154345421">
    <w:abstractNumId w:val="6"/>
  </w:num>
  <w:num w:numId="8" w16cid:durableId="1217007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256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964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2605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7755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7185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3275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324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71256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4066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890506">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722248402">
    <w:abstractNumId w:val="0"/>
  </w:num>
  <w:num w:numId="20" w16cid:durableId="107434016">
    <w:abstractNumId w:val="7"/>
  </w:num>
  <w:num w:numId="21" w16cid:durableId="515467174">
    <w:abstractNumId w:val="1"/>
  </w:num>
  <w:num w:numId="22" w16cid:durableId="400955029">
    <w:abstractNumId w:val="0"/>
  </w:num>
  <w:num w:numId="23" w16cid:durableId="1483963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6075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8680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5391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331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4732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2891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832"/>
    <w:rsid w:val="00001C08"/>
    <w:rsid w:val="00002BF1"/>
    <w:rsid w:val="00002C13"/>
    <w:rsid w:val="00006220"/>
    <w:rsid w:val="000069EE"/>
    <w:rsid w:val="00006CD7"/>
    <w:rsid w:val="000103FC"/>
    <w:rsid w:val="00010746"/>
    <w:rsid w:val="00011156"/>
    <w:rsid w:val="0001121F"/>
    <w:rsid w:val="000143DF"/>
    <w:rsid w:val="000151F8"/>
    <w:rsid w:val="00015D43"/>
    <w:rsid w:val="00016801"/>
    <w:rsid w:val="00021171"/>
    <w:rsid w:val="00021FDB"/>
    <w:rsid w:val="00023790"/>
    <w:rsid w:val="00023FE1"/>
    <w:rsid w:val="00024602"/>
    <w:rsid w:val="000252FF"/>
    <w:rsid w:val="000253AE"/>
    <w:rsid w:val="00030066"/>
    <w:rsid w:val="00030EBC"/>
    <w:rsid w:val="000329D4"/>
    <w:rsid w:val="000331B6"/>
    <w:rsid w:val="00033C71"/>
    <w:rsid w:val="00034F5E"/>
    <w:rsid w:val="0003541F"/>
    <w:rsid w:val="00040BF3"/>
    <w:rsid w:val="000423E3"/>
    <w:rsid w:val="0004292D"/>
    <w:rsid w:val="00042D30"/>
    <w:rsid w:val="00043FA0"/>
    <w:rsid w:val="0004406B"/>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3C54"/>
    <w:rsid w:val="000650F1"/>
    <w:rsid w:val="00065A16"/>
    <w:rsid w:val="00071D06"/>
    <w:rsid w:val="0007214A"/>
    <w:rsid w:val="00072B6E"/>
    <w:rsid w:val="00072DFB"/>
    <w:rsid w:val="00075B4E"/>
    <w:rsid w:val="00077A7C"/>
    <w:rsid w:val="00082BCF"/>
    <w:rsid w:val="00082E53"/>
    <w:rsid w:val="000844F9"/>
    <w:rsid w:val="00084830"/>
    <w:rsid w:val="0008606A"/>
    <w:rsid w:val="00086656"/>
    <w:rsid w:val="00086B8F"/>
    <w:rsid w:val="00086D87"/>
    <w:rsid w:val="000872D6"/>
    <w:rsid w:val="00090628"/>
    <w:rsid w:val="000919BC"/>
    <w:rsid w:val="0009452F"/>
    <w:rsid w:val="000950EF"/>
    <w:rsid w:val="00096701"/>
    <w:rsid w:val="000A0C05"/>
    <w:rsid w:val="000A33D4"/>
    <w:rsid w:val="000A3BEF"/>
    <w:rsid w:val="000A41E7"/>
    <w:rsid w:val="000A451E"/>
    <w:rsid w:val="000A4615"/>
    <w:rsid w:val="000A48C7"/>
    <w:rsid w:val="000A796C"/>
    <w:rsid w:val="000A7A61"/>
    <w:rsid w:val="000B09C8"/>
    <w:rsid w:val="000B1FC2"/>
    <w:rsid w:val="000B2886"/>
    <w:rsid w:val="000B30E1"/>
    <w:rsid w:val="000B310A"/>
    <w:rsid w:val="000B4F65"/>
    <w:rsid w:val="000B74BC"/>
    <w:rsid w:val="000B75CB"/>
    <w:rsid w:val="000B7D49"/>
    <w:rsid w:val="000C0FB5"/>
    <w:rsid w:val="000C1078"/>
    <w:rsid w:val="000C16A7"/>
    <w:rsid w:val="000C1BCD"/>
    <w:rsid w:val="000C250C"/>
    <w:rsid w:val="000C3989"/>
    <w:rsid w:val="000C43DF"/>
    <w:rsid w:val="000C575E"/>
    <w:rsid w:val="000C61FB"/>
    <w:rsid w:val="000C6F89"/>
    <w:rsid w:val="000C7D4F"/>
    <w:rsid w:val="000D2063"/>
    <w:rsid w:val="000D24EC"/>
    <w:rsid w:val="000D2C3A"/>
    <w:rsid w:val="000D48A8"/>
    <w:rsid w:val="000D4B5A"/>
    <w:rsid w:val="000D5492"/>
    <w:rsid w:val="000D55B1"/>
    <w:rsid w:val="000D5D10"/>
    <w:rsid w:val="000D64D8"/>
    <w:rsid w:val="000E3C1C"/>
    <w:rsid w:val="000E41B7"/>
    <w:rsid w:val="000E637B"/>
    <w:rsid w:val="000E6BA0"/>
    <w:rsid w:val="000F174A"/>
    <w:rsid w:val="000F7960"/>
    <w:rsid w:val="00100B59"/>
    <w:rsid w:val="00100DC5"/>
    <w:rsid w:val="00100E27"/>
    <w:rsid w:val="00100E5A"/>
    <w:rsid w:val="00101135"/>
    <w:rsid w:val="0010259B"/>
    <w:rsid w:val="00102659"/>
    <w:rsid w:val="00103D80"/>
    <w:rsid w:val="00104A05"/>
    <w:rsid w:val="00105FD4"/>
    <w:rsid w:val="00106009"/>
    <w:rsid w:val="001061F9"/>
    <w:rsid w:val="00106234"/>
    <w:rsid w:val="001068B3"/>
    <w:rsid w:val="00106A3B"/>
    <w:rsid w:val="001113CC"/>
    <w:rsid w:val="00113763"/>
    <w:rsid w:val="00113879"/>
    <w:rsid w:val="00113C45"/>
    <w:rsid w:val="00114A4A"/>
    <w:rsid w:val="00114B7D"/>
    <w:rsid w:val="001177C4"/>
    <w:rsid w:val="00117B7D"/>
    <w:rsid w:val="00117FF3"/>
    <w:rsid w:val="0012093E"/>
    <w:rsid w:val="00125C6C"/>
    <w:rsid w:val="00127648"/>
    <w:rsid w:val="001279FD"/>
    <w:rsid w:val="00127EDB"/>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400"/>
    <w:rsid w:val="0016403D"/>
    <w:rsid w:val="00165A78"/>
    <w:rsid w:val="00165FF0"/>
    <w:rsid w:val="0017075C"/>
    <w:rsid w:val="00170CB5"/>
    <w:rsid w:val="00171601"/>
    <w:rsid w:val="00172D3A"/>
    <w:rsid w:val="00174105"/>
    <w:rsid w:val="00174183"/>
    <w:rsid w:val="00176C65"/>
    <w:rsid w:val="00180A15"/>
    <w:rsid w:val="001810F4"/>
    <w:rsid w:val="00181128"/>
    <w:rsid w:val="0018179E"/>
    <w:rsid w:val="00182B46"/>
    <w:rsid w:val="001839C3"/>
    <w:rsid w:val="00183B80"/>
    <w:rsid w:val="00183DB2"/>
    <w:rsid w:val="00183E9C"/>
    <w:rsid w:val="001841F1"/>
    <w:rsid w:val="001855C0"/>
    <w:rsid w:val="0018571A"/>
    <w:rsid w:val="001859B6"/>
    <w:rsid w:val="00187FFC"/>
    <w:rsid w:val="00191D2F"/>
    <w:rsid w:val="00191F45"/>
    <w:rsid w:val="00192034"/>
    <w:rsid w:val="00193503"/>
    <w:rsid w:val="001939CA"/>
    <w:rsid w:val="00193B82"/>
    <w:rsid w:val="00194290"/>
    <w:rsid w:val="0019600C"/>
    <w:rsid w:val="00196CF1"/>
    <w:rsid w:val="00197787"/>
    <w:rsid w:val="00197B41"/>
    <w:rsid w:val="001A03EA"/>
    <w:rsid w:val="001A0919"/>
    <w:rsid w:val="001A3627"/>
    <w:rsid w:val="001A5095"/>
    <w:rsid w:val="001B0063"/>
    <w:rsid w:val="001B03B3"/>
    <w:rsid w:val="001B0509"/>
    <w:rsid w:val="001B1751"/>
    <w:rsid w:val="001B3065"/>
    <w:rsid w:val="001B33C0"/>
    <w:rsid w:val="001B4A46"/>
    <w:rsid w:val="001B5E34"/>
    <w:rsid w:val="001C1531"/>
    <w:rsid w:val="001C2997"/>
    <w:rsid w:val="001C4DB7"/>
    <w:rsid w:val="001C616B"/>
    <w:rsid w:val="001C6C9B"/>
    <w:rsid w:val="001D10B2"/>
    <w:rsid w:val="001D3024"/>
    <w:rsid w:val="001D3092"/>
    <w:rsid w:val="001D4CD1"/>
    <w:rsid w:val="001D4F6E"/>
    <w:rsid w:val="001D6157"/>
    <w:rsid w:val="001D66C2"/>
    <w:rsid w:val="001E0FFC"/>
    <w:rsid w:val="001E1F93"/>
    <w:rsid w:val="001E24CF"/>
    <w:rsid w:val="001E3097"/>
    <w:rsid w:val="001E3D35"/>
    <w:rsid w:val="001E4B06"/>
    <w:rsid w:val="001E5F98"/>
    <w:rsid w:val="001F01F4"/>
    <w:rsid w:val="001F0F26"/>
    <w:rsid w:val="001F13D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693"/>
    <w:rsid w:val="00221777"/>
    <w:rsid w:val="00221998"/>
    <w:rsid w:val="00221E1A"/>
    <w:rsid w:val="002228E3"/>
    <w:rsid w:val="002233BB"/>
    <w:rsid w:val="00224261"/>
    <w:rsid w:val="00224B16"/>
    <w:rsid w:val="00224D61"/>
    <w:rsid w:val="002265BD"/>
    <w:rsid w:val="002270CC"/>
    <w:rsid w:val="00227421"/>
    <w:rsid w:val="00227894"/>
    <w:rsid w:val="0022791F"/>
    <w:rsid w:val="00231E53"/>
    <w:rsid w:val="00234830"/>
    <w:rsid w:val="002368C7"/>
    <w:rsid w:val="0023726F"/>
    <w:rsid w:val="0024041A"/>
    <w:rsid w:val="00240AD0"/>
    <w:rsid w:val="002410C8"/>
    <w:rsid w:val="00241C93"/>
    <w:rsid w:val="0024214A"/>
    <w:rsid w:val="00242BB1"/>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2AA"/>
    <w:rsid w:val="00256D4F"/>
    <w:rsid w:val="00257592"/>
    <w:rsid w:val="00260EE8"/>
    <w:rsid w:val="00260F28"/>
    <w:rsid w:val="0026131D"/>
    <w:rsid w:val="00263542"/>
    <w:rsid w:val="00266738"/>
    <w:rsid w:val="00266D0C"/>
    <w:rsid w:val="00271E1C"/>
    <w:rsid w:val="00273F94"/>
    <w:rsid w:val="002760B7"/>
    <w:rsid w:val="002810D3"/>
    <w:rsid w:val="00281994"/>
    <w:rsid w:val="002847AE"/>
    <w:rsid w:val="002870F2"/>
    <w:rsid w:val="00287650"/>
    <w:rsid w:val="0029008E"/>
    <w:rsid w:val="00290154"/>
    <w:rsid w:val="00290F2C"/>
    <w:rsid w:val="002912B2"/>
    <w:rsid w:val="00292756"/>
    <w:rsid w:val="00294F88"/>
    <w:rsid w:val="00294FCC"/>
    <w:rsid w:val="00295516"/>
    <w:rsid w:val="002A0D68"/>
    <w:rsid w:val="002A10A1"/>
    <w:rsid w:val="002A3161"/>
    <w:rsid w:val="002A3410"/>
    <w:rsid w:val="002A44D1"/>
    <w:rsid w:val="002A4631"/>
    <w:rsid w:val="002A4E29"/>
    <w:rsid w:val="002A5BA6"/>
    <w:rsid w:val="002A67F7"/>
    <w:rsid w:val="002A6EA6"/>
    <w:rsid w:val="002B108B"/>
    <w:rsid w:val="002B12DE"/>
    <w:rsid w:val="002B270D"/>
    <w:rsid w:val="002B3375"/>
    <w:rsid w:val="002B38D6"/>
    <w:rsid w:val="002B4745"/>
    <w:rsid w:val="002B480D"/>
    <w:rsid w:val="002B4845"/>
    <w:rsid w:val="002B4AC3"/>
    <w:rsid w:val="002B7744"/>
    <w:rsid w:val="002C05AC"/>
    <w:rsid w:val="002C26F0"/>
    <w:rsid w:val="002C3953"/>
    <w:rsid w:val="002C56A0"/>
    <w:rsid w:val="002C5749"/>
    <w:rsid w:val="002C7496"/>
    <w:rsid w:val="002D12FF"/>
    <w:rsid w:val="002D19D1"/>
    <w:rsid w:val="002D21A5"/>
    <w:rsid w:val="002D4413"/>
    <w:rsid w:val="002D7247"/>
    <w:rsid w:val="002E23E3"/>
    <w:rsid w:val="002E26F3"/>
    <w:rsid w:val="002E34CB"/>
    <w:rsid w:val="002E4059"/>
    <w:rsid w:val="002E4D5B"/>
    <w:rsid w:val="002E5474"/>
    <w:rsid w:val="002E5699"/>
    <w:rsid w:val="002E5832"/>
    <w:rsid w:val="002E5DBD"/>
    <w:rsid w:val="002E633F"/>
    <w:rsid w:val="002E7947"/>
    <w:rsid w:val="002F0BF7"/>
    <w:rsid w:val="002F0D60"/>
    <w:rsid w:val="002F104E"/>
    <w:rsid w:val="002F1BD9"/>
    <w:rsid w:val="002F3A6D"/>
    <w:rsid w:val="002F3E06"/>
    <w:rsid w:val="002F434F"/>
    <w:rsid w:val="002F5B1D"/>
    <w:rsid w:val="002F749C"/>
    <w:rsid w:val="00303813"/>
    <w:rsid w:val="00305246"/>
    <w:rsid w:val="003061DE"/>
    <w:rsid w:val="00307C2D"/>
    <w:rsid w:val="00310348"/>
    <w:rsid w:val="00310EE6"/>
    <w:rsid w:val="00311628"/>
    <w:rsid w:val="00311C08"/>
    <w:rsid w:val="00311E73"/>
    <w:rsid w:val="0031221D"/>
    <w:rsid w:val="003123F7"/>
    <w:rsid w:val="00312725"/>
    <w:rsid w:val="0031449E"/>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005"/>
    <w:rsid w:val="0033142F"/>
    <w:rsid w:val="0033193C"/>
    <w:rsid w:val="00332B30"/>
    <w:rsid w:val="0033532B"/>
    <w:rsid w:val="00336799"/>
    <w:rsid w:val="00337929"/>
    <w:rsid w:val="00340003"/>
    <w:rsid w:val="00340EDD"/>
    <w:rsid w:val="003429B7"/>
    <w:rsid w:val="00342B92"/>
    <w:rsid w:val="00343B23"/>
    <w:rsid w:val="003444A9"/>
    <w:rsid w:val="003445F2"/>
    <w:rsid w:val="00345EB0"/>
    <w:rsid w:val="0034764B"/>
    <w:rsid w:val="0034780A"/>
    <w:rsid w:val="00347CBE"/>
    <w:rsid w:val="003503AC"/>
    <w:rsid w:val="00352686"/>
    <w:rsid w:val="003534AD"/>
    <w:rsid w:val="00356199"/>
    <w:rsid w:val="00357136"/>
    <w:rsid w:val="003576EB"/>
    <w:rsid w:val="00360783"/>
    <w:rsid w:val="00360C67"/>
    <w:rsid w:val="00360E65"/>
    <w:rsid w:val="00362DCB"/>
    <w:rsid w:val="0036308C"/>
    <w:rsid w:val="00363E8F"/>
    <w:rsid w:val="0036419C"/>
    <w:rsid w:val="00365118"/>
    <w:rsid w:val="00366467"/>
    <w:rsid w:val="00367331"/>
    <w:rsid w:val="003700D6"/>
    <w:rsid w:val="00370563"/>
    <w:rsid w:val="003711A2"/>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1A09"/>
    <w:rsid w:val="003B225F"/>
    <w:rsid w:val="003B3CB0"/>
    <w:rsid w:val="003B7BBB"/>
    <w:rsid w:val="003C0FB3"/>
    <w:rsid w:val="003C2E97"/>
    <w:rsid w:val="003C3990"/>
    <w:rsid w:val="003C434B"/>
    <w:rsid w:val="003C489D"/>
    <w:rsid w:val="003C54B8"/>
    <w:rsid w:val="003C687F"/>
    <w:rsid w:val="003C723C"/>
    <w:rsid w:val="003D0F7F"/>
    <w:rsid w:val="003D21BC"/>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635B"/>
    <w:rsid w:val="00407063"/>
    <w:rsid w:val="00407474"/>
    <w:rsid w:val="00407ED4"/>
    <w:rsid w:val="004125FD"/>
    <w:rsid w:val="004128F0"/>
    <w:rsid w:val="00414D5B"/>
    <w:rsid w:val="00414F50"/>
    <w:rsid w:val="004161B1"/>
    <w:rsid w:val="004163AD"/>
    <w:rsid w:val="0041645A"/>
    <w:rsid w:val="00417BB8"/>
    <w:rsid w:val="00420300"/>
    <w:rsid w:val="004215B3"/>
    <w:rsid w:val="00421CC4"/>
    <w:rsid w:val="0042354D"/>
    <w:rsid w:val="004259A6"/>
    <w:rsid w:val="00425CCF"/>
    <w:rsid w:val="00430CE6"/>
    <w:rsid w:val="00430D80"/>
    <w:rsid w:val="004317B5"/>
    <w:rsid w:val="00431E3D"/>
    <w:rsid w:val="0043398C"/>
    <w:rsid w:val="00435259"/>
    <w:rsid w:val="00436B23"/>
    <w:rsid w:val="00436E88"/>
    <w:rsid w:val="00440977"/>
    <w:rsid w:val="0044175B"/>
    <w:rsid w:val="00441C88"/>
    <w:rsid w:val="00442026"/>
    <w:rsid w:val="00442448"/>
    <w:rsid w:val="00443CD4"/>
    <w:rsid w:val="004440BB"/>
    <w:rsid w:val="004450B6"/>
    <w:rsid w:val="00445612"/>
    <w:rsid w:val="004479D8"/>
    <w:rsid w:val="004479DB"/>
    <w:rsid w:val="00447C97"/>
    <w:rsid w:val="00451168"/>
    <w:rsid w:val="00451506"/>
    <w:rsid w:val="00452D84"/>
    <w:rsid w:val="00453739"/>
    <w:rsid w:val="0045418E"/>
    <w:rsid w:val="0045627B"/>
    <w:rsid w:val="00456C90"/>
    <w:rsid w:val="00456CC0"/>
    <w:rsid w:val="00457160"/>
    <w:rsid w:val="004578CC"/>
    <w:rsid w:val="00460A1D"/>
    <w:rsid w:val="00463BFC"/>
    <w:rsid w:val="004657D6"/>
    <w:rsid w:val="004728AA"/>
    <w:rsid w:val="00473346"/>
    <w:rsid w:val="00476168"/>
    <w:rsid w:val="00476284"/>
    <w:rsid w:val="0048084F"/>
    <w:rsid w:val="004810BD"/>
    <w:rsid w:val="0048175E"/>
    <w:rsid w:val="004820FD"/>
    <w:rsid w:val="004824F2"/>
    <w:rsid w:val="00483B44"/>
    <w:rsid w:val="00483CA9"/>
    <w:rsid w:val="004850B9"/>
    <w:rsid w:val="0048525B"/>
    <w:rsid w:val="00485CCD"/>
    <w:rsid w:val="00485DB5"/>
    <w:rsid w:val="004860C5"/>
    <w:rsid w:val="00486D2B"/>
    <w:rsid w:val="00490D60"/>
    <w:rsid w:val="00493120"/>
    <w:rsid w:val="00493A51"/>
    <w:rsid w:val="004949C7"/>
    <w:rsid w:val="00494FDC"/>
    <w:rsid w:val="00495795"/>
    <w:rsid w:val="004A0489"/>
    <w:rsid w:val="004A161B"/>
    <w:rsid w:val="004A4146"/>
    <w:rsid w:val="004A47DB"/>
    <w:rsid w:val="004A5AAE"/>
    <w:rsid w:val="004A6A29"/>
    <w:rsid w:val="004A6AB7"/>
    <w:rsid w:val="004A7284"/>
    <w:rsid w:val="004A7E1A"/>
    <w:rsid w:val="004B0073"/>
    <w:rsid w:val="004B1541"/>
    <w:rsid w:val="004B240E"/>
    <w:rsid w:val="004B29F4"/>
    <w:rsid w:val="004B2DEE"/>
    <w:rsid w:val="004B3B37"/>
    <w:rsid w:val="004B44B2"/>
    <w:rsid w:val="004B4C27"/>
    <w:rsid w:val="004B6407"/>
    <w:rsid w:val="004B6923"/>
    <w:rsid w:val="004B7240"/>
    <w:rsid w:val="004B7495"/>
    <w:rsid w:val="004B780F"/>
    <w:rsid w:val="004B7B56"/>
    <w:rsid w:val="004C098E"/>
    <w:rsid w:val="004C18A2"/>
    <w:rsid w:val="004C1FE5"/>
    <w:rsid w:val="004C20CF"/>
    <w:rsid w:val="004C299C"/>
    <w:rsid w:val="004C2E2E"/>
    <w:rsid w:val="004C4D54"/>
    <w:rsid w:val="004C5856"/>
    <w:rsid w:val="004C7023"/>
    <w:rsid w:val="004C7513"/>
    <w:rsid w:val="004D02AC"/>
    <w:rsid w:val="004D0383"/>
    <w:rsid w:val="004D0B74"/>
    <w:rsid w:val="004D1F3F"/>
    <w:rsid w:val="004D333E"/>
    <w:rsid w:val="004D3A72"/>
    <w:rsid w:val="004D3EE2"/>
    <w:rsid w:val="004D5BBA"/>
    <w:rsid w:val="004D6540"/>
    <w:rsid w:val="004E1C2A"/>
    <w:rsid w:val="004E2ACB"/>
    <w:rsid w:val="004E31AC"/>
    <w:rsid w:val="004E361D"/>
    <w:rsid w:val="004E38B0"/>
    <w:rsid w:val="004E3C28"/>
    <w:rsid w:val="004E4332"/>
    <w:rsid w:val="004E4E0B"/>
    <w:rsid w:val="004E5E90"/>
    <w:rsid w:val="004E6856"/>
    <w:rsid w:val="004E6FB4"/>
    <w:rsid w:val="004F0977"/>
    <w:rsid w:val="004F1408"/>
    <w:rsid w:val="004F2865"/>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246"/>
    <w:rsid w:val="00530E46"/>
    <w:rsid w:val="0053219E"/>
    <w:rsid w:val="005324EF"/>
    <w:rsid w:val="0053286B"/>
    <w:rsid w:val="00536369"/>
    <w:rsid w:val="005400FF"/>
    <w:rsid w:val="00540894"/>
    <w:rsid w:val="00540E17"/>
    <w:rsid w:val="00540E99"/>
    <w:rsid w:val="00541130"/>
    <w:rsid w:val="00546A8B"/>
    <w:rsid w:val="00546D4F"/>
    <w:rsid w:val="00546D5E"/>
    <w:rsid w:val="00546F02"/>
    <w:rsid w:val="0054770B"/>
    <w:rsid w:val="00551073"/>
    <w:rsid w:val="00551B98"/>
    <w:rsid w:val="00551DA4"/>
    <w:rsid w:val="0055213A"/>
    <w:rsid w:val="0055226C"/>
    <w:rsid w:val="00554077"/>
    <w:rsid w:val="00554956"/>
    <w:rsid w:val="00557BE6"/>
    <w:rsid w:val="005600BC"/>
    <w:rsid w:val="00560E81"/>
    <w:rsid w:val="00563104"/>
    <w:rsid w:val="00564534"/>
    <w:rsid w:val="005646C1"/>
    <w:rsid w:val="005646CC"/>
    <w:rsid w:val="005652E4"/>
    <w:rsid w:val="00565730"/>
    <w:rsid w:val="005658A6"/>
    <w:rsid w:val="005663A7"/>
    <w:rsid w:val="00566671"/>
    <w:rsid w:val="00567B22"/>
    <w:rsid w:val="0057134C"/>
    <w:rsid w:val="0057331C"/>
    <w:rsid w:val="00573328"/>
    <w:rsid w:val="00573F07"/>
    <w:rsid w:val="005747FF"/>
    <w:rsid w:val="00575176"/>
    <w:rsid w:val="00576415"/>
    <w:rsid w:val="00580D0F"/>
    <w:rsid w:val="005824C0"/>
    <w:rsid w:val="00582560"/>
    <w:rsid w:val="00582FD7"/>
    <w:rsid w:val="005832ED"/>
    <w:rsid w:val="00583524"/>
    <w:rsid w:val="005835A2"/>
    <w:rsid w:val="00583853"/>
    <w:rsid w:val="005857A8"/>
    <w:rsid w:val="00586070"/>
    <w:rsid w:val="0058713B"/>
    <w:rsid w:val="005876D2"/>
    <w:rsid w:val="00587782"/>
    <w:rsid w:val="0059056C"/>
    <w:rsid w:val="0059130B"/>
    <w:rsid w:val="00592E3A"/>
    <w:rsid w:val="005938F8"/>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3A7E"/>
    <w:rsid w:val="005C7B55"/>
    <w:rsid w:val="005D0175"/>
    <w:rsid w:val="005D0F6D"/>
    <w:rsid w:val="005D1710"/>
    <w:rsid w:val="005D1CC4"/>
    <w:rsid w:val="005D2D62"/>
    <w:rsid w:val="005D4804"/>
    <w:rsid w:val="005D4AAA"/>
    <w:rsid w:val="005D5A78"/>
    <w:rsid w:val="005D5DB0"/>
    <w:rsid w:val="005D6CBA"/>
    <w:rsid w:val="005E0B43"/>
    <w:rsid w:val="005E321B"/>
    <w:rsid w:val="005E4742"/>
    <w:rsid w:val="005E6829"/>
    <w:rsid w:val="005F10D4"/>
    <w:rsid w:val="005F26E8"/>
    <w:rsid w:val="005F275A"/>
    <w:rsid w:val="005F2E08"/>
    <w:rsid w:val="005F78DD"/>
    <w:rsid w:val="005F7A4D"/>
    <w:rsid w:val="00601B68"/>
    <w:rsid w:val="0060359B"/>
    <w:rsid w:val="00603F69"/>
    <w:rsid w:val="006040DA"/>
    <w:rsid w:val="006047BD"/>
    <w:rsid w:val="00605ABB"/>
    <w:rsid w:val="0060732B"/>
    <w:rsid w:val="00607675"/>
    <w:rsid w:val="006103C8"/>
    <w:rsid w:val="00610F53"/>
    <w:rsid w:val="00612E3F"/>
    <w:rsid w:val="00613208"/>
    <w:rsid w:val="00616767"/>
    <w:rsid w:val="0061698B"/>
    <w:rsid w:val="00616F61"/>
    <w:rsid w:val="00617283"/>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0D04"/>
    <w:rsid w:val="00651A1C"/>
    <w:rsid w:val="00651E73"/>
    <w:rsid w:val="006522FD"/>
    <w:rsid w:val="00652800"/>
    <w:rsid w:val="00653149"/>
    <w:rsid w:val="00653AB0"/>
    <w:rsid w:val="00653C5D"/>
    <w:rsid w:val="006544A7"/>
    <w:rsid w:val="006552BE"/>
    <w:rsid w:val="00660229"/>
    <w:rsid w:val="006618E3"/>
    <w:rsid w:val="00661D06"/>
    <w:rsid w:val="006638B4"/>
    <w:rsid w:val="0066400D"/>
    <w:rsid w:val="006644C4"/>
    <w:rsid w:val="0066665B"/>
    <w:rsid w:val="00670EE3"/>
    <w:rsid w:val="00671004"/>
    <w:rsid w:val="0067331F"/>
    <w:rsid w:val="00673D1B"/>
    <w:rsid w:val="006742E8"/>
    <w:rsid w:val="0067463E"/>
    <w:rsid w:val="0067482E"/>
    <w:rsid w:val="00675260"/>
    <w:rsid w:val="0067758B"/>
    <w:rsid w:val="00677DDB"/>
    <w:rsid w:val="00677EF0"/>
    <w:rsid w:val="006814BF"/>
    <w:rsid w:val="00681F32"/>
    <w:rsid w:val="00683AEC"/>
    <w:rsid w:val="00684672"/>
    <w:rsid w:val="0068481E"/>
    <w:rsid w:val="0068666F"/>
    <w:rsid w:val="0068780A"/>
    <w:rsid w:val="00687E15"/>
    <w:rsid w:val="00690267"/>
    <w:rsid w:val="006906E7"/>
    <w:rsid w:val="006954D4"/>
    <w:rsid w:val="0069598B"/>
    <w:rsid w:val="00695AF0"/>
    <w:rsid w:val="006975E7"/>
    <w:rsid w:val="006A1A8E"/>
    <w:rsid w:val="006A1CF6"/>
    <w:rsid w:val="006A2D9E"/>
    <w:rsid w:val="006A3193"/>
    <w:rsid w:val="006A36DB"/>
    <w:rsid w:val="006A3EF2"/>
    <w:rsid w:val="006A3F22"/>
    <w:rsid w:val="006A44D0"/>
    <w:rsid w:val="006A4554"/>
    <w:rsid w:val="006A48C1"/>
    <w:rsid w:val="006A510D"/>
    <w:rsid w:val="006A51A4"/>
    <w:rsid w:val="006A7795"/>
    <w:rsid w:val="006B06B2"/>
    <w:rsid w:val="006B1FFA"/>
    <w:rsid w:val="006B3564"/>
    <w:rsid w:val="006B37E6"/>
    <w:rsid w:val="006B3D8F"/>
    <w:rsid w:val="006B42E3"/>
    <w:rsid w:val="006B44E9"/>
    <w:rsid w:val="006B73E5"/>
    <w:rsid w:val="006C00A3"/>
    <w:rsid w:val="006C00BA"/>
    <w:rsid w:val="006C10FC"/>
    <w:rsid w:val="006C3BF0"/>
    <w:rsid w:val="006C4B47"/>
    <w:rsid w:val="006C7AB5"/>
    <w:rsid w:val="006D062E"/>
    <w:rsid w:val="006D0817"/>
    <w:rsid w:val="006D0996"/>
    <w:rsid w:val="006D2405"/>
    <w:rsid w:val="006D3A0E"/>
    <w:rsid w:val="006D4A39"/>
    <w:rsid w:val="006D5147"/>
    <w:rsid w:val="006D53A4"/>
    <w:rsid w:val="006D6748"/>
    <w:rsid w:val="006E08A7"/>
    <w:rsid w:val="006E08C4"/>
    <w:rsid w:val="006E091B"/>
    <w:rsid w:val="006E1757"/>
    <w:rsid w:val="006E2552"/>
    <w:rsid w:val="006E42C8"/>
    <w:rsid w:val="006E4800"/>
    <w:rsid w:val="006E560F"/>
    <w:rsid w:val="006E5B90"/>
    <w:rsid w:val="006E60D3"/>
    <w:rsid w:val="006E79B6"/>
    <w:rsid w:val="006F054E"/>
    <w:rsid w:val="006F1354"/>
    <w:rsid w:val="006F15D8"/>
    <w:rsid w:val="006F1B19"/>
    <w:rsid w:val="006F3613"/>
    <w:rsid w:val="006F3839"/>
    <w:rsid w:val="006F4503"/>
    <w:rsid w:val="00700C89"/>
    <w:rsid w:val="007014BA"/>
    <w:rsid w:val="00701DAC"/>
    <w:rsid w:val="00704694"/>
    <w:rsid w:val="007058CD"/>
    <w:rsid w:val="00705D75"/>
    <w:rsid w:val="0070723B"/>
    <w:rsid w:val="007075AE"/>
    <w:rsid w:val="007105A8"/>
    <w:rsid w:val="00712DA7"/>
    <w:rsid w:val="007135BA"/>
    <w:rsid w:val="00714956"/>
    <w:rsid w:val="00715F89"/>
    <w:rsid w:val="00716FB7"/>
    <w:rsid w:val="00717C66"/>
    <w:rsid w:val="0072144B"/>
    <w:rsid w:val="00722D6B"/>
    <w:rsid w:val="00723956"/>
    <w:rsid w:val="00724203"/>
    <w:rsid w:val="00725C3B"/>
    <w:rsid w:val="00725D14"/>
    <w:rsid w:val="007266FB"/>
    <w:rsid w:val="0073212B"/>
    <w:rsid w:val="00732DA7"/>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695E"/>
    <w:rsid w:val="00757591"/>
    <w:rsid w:val="00757633"/>
    <w:rsid w:val="007577E4"/>
    <w:rsid w:val="00757A59"/>
    <w:rsid w:val="00757DD5"/>
    <w:rsid w:val="007611D1"/>
    <w:rsid w:val="007617A7"/>
    <w:rsid w:val="00761E5F"/>
    <w:rsid w:val="00762125"/>
    <w:rsid w:val="007635C3"/>
    <w:rsid w:val="00765E06"/>
    <w:rsid w:val="00765F79"/>
    <w:rsid w:val="007706FF"/>
    <w:rsid w:val="00770891"/>
    <w:rsid w:val="00770C61"/>
    <w:rsid w:val="00772BA3"/>
    <w:rsid w:val="00776344"/>
    <w:rsid w:val="007763FE"/>
    <w:rsid w:val="007765DE"/>
    <w:rsid w:val="00776998"/>
    <w:rsid w:val="00777434"/>
    <w:rsid w:val="007776A2"/>
    <w:rsid w:val="00777849"/>
    <w:rsid w:val="00780A99"/>
    <w:rsid w:val="00781C4F"/>
    <w:rsid w:val="00782487"/>
    <w:rsid w:val="00782A2E"/>
    <w:rsid w:val="00782B11"/>
    <w:rsid w:val="007836C0"/>
    <w:rsid w:val="007836E4"/>
    <w:rsid w:val="00785D03"/>
    <w:rsid w:val="0078667E"/>
    <w:rsid w:val="00787702"/>
    <w:rsid w:val="007919DC"/>
    <w:rsid w:val="00791B72"/>
    <w:rsid w:val="00791C7F"/>
    <w:rsid w:val="00793712"/>
    <w:rsid w:val="00793DD6"/>
    <w:rsid w:val="00796888"/>
    <w:rsid w:val="007A1326"/>
    <w:rsid w:val="007A2B7B"/>
    <w:rsid w:val="007A3356"/>
    <w:rsid w:val="007A36F3"/>
    <w:rsid w:val="007A4CEF"/>
    <w:rsid w:val="007A55A8"/>
    <w:rsid w:val="007A5ED6"/>
    <w:rsid w:val="007A75F4"/>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46D7"/>
    <w:rsid w:val="007E5E9E"/>
    <w:rsid w:val="007F1493"/>
    <w:rsid w:val="007F15BC"/>
    <w:rsid w:val="007F3524"/>
    <w:rsid w:val="007F45DE"/>
    <w:rsid w:val="007F576D"/>
    <w:rsid w:val="007F637A"/>
    <w:rsid w:val="007F66A6"/>
    <w:rsid w:val="007F76BF"/>
    <w:rsid w:val="007F7958"/>
    <w:rsid w:val="008003CD"/>
    <w:rsid w:val="00800512"/>
    <w:rsid w:val="00801687"/>
    <w:rsid w:val="008019EE"/>
    <w:rsid w:val="00802022"/>
    <w:rsid w:val="0080207C"/>
    <w:rsid w:val="008028A3"/>
    <w:rsid w:val="008059C1"/>
    <w:rsid w:val="0080662F"/>
    <w:rsid w:val="00806C91"/>
    <w:rsid w:val="0081065F"/>
    <w:rsid w:val="00810E72"/>
    <w:rsid w:val="0081179B"/>
    <w:rsid w:val="00811F44"/>
    <w:rsid w:val="00812DCB"/>
    <w:rsid w:val="00813FA5"/>
    <w:rsid w:val="0081523F"/>
    <w:rsid w:val="00816151"/>
    <w:rsid w:val="00817268"/>
    <w:rsid w:val="008203B7"/>
    <w:rsid w:val="00820BB7"/>
    <w:rsid w:val="008212BE"/>
    <w:rsid w:val="008218CF"/>
    <w:rsid w:val="00821E32"/>
    <w:rsid w:val="00822ACF"/>
    <w:rsid w:val="008248E7"/>
    <w:rsid w:val="00824F02"/>
    <w:rsid w:val="00825595"/>
    <w:rsid w:val="00826BD1"/>
    <w:rsid w:val="00826C4F"/>
    <w:rsid w:val="00830A48"/>
    <w:rsid w:val="008317F5"/>
    <w:rsid w:val="00831C89"/>
    <w:rsid w:val="00832DA5"/>
    <w:rsid w:val="00832F4B"/>
    <w:rsid w:val="00833A2E"/>
    <w:rsid w:val="00833EDF"/>
    <w:rsid w:val="00834038"/>
    <w:rsid w:val="00834F17"/>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6E8"/>
    <w:rsid w:val="008627AD"/>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569"/>
    <w:rsid w:val="00882E98"/>
    <w:rsid w:val="00883242"/>
    <w:rsid w:val="00883A53"/>
    <w:rsid w:val="00885C59"/>
    <w:rsid w:val="00885F34"/>
    <w:rsid w:val="00887D30"/>
    <w:rsid w:val="00890C47"/>
    <w:rsid w:val="0089256F"/>
    <w:rsid w:val="00893CDB"/>
    <w:rsid w:val="00893D12"/>
    <w:rsid w:val="0089468F"/>
    <w:rsid w:val="00895105"/>
    <w:rsid w:val="00895316"/>
    <w:rsid w:val="00895861"/>
    <w:rsid w:val="00897509"/>
    <w:rsid w:val="00897591"/>
    <w:rsid w:val="00897B91"/>
    <w:rsid w:val="008A00A0"/>
    <w:rsid w:val="008A0836"/>
    <w:rsid w:val="008A21F0"/>
    <w:rsid w:val="008A5DE5"/>
    <w:rsid w:val="008A7611"/>
    <w:rsid w:val="008B010A"/>
    <w:rsid w:val="008B1208"/>
    <w:rsid w:val="008B1FDB"/>
    <w:rsid w:val="008B2A5B"/>
    <w:rsid w:val="008B367A"/>
    <w:rsid w:val="008B430F"/>
    <w:rsid w:val="008B44C9"/>
    <w:rsid w:val="008B466E"/>
    <w:rsid w:val="008B4DA3"/>
    <w:rsid w:val="008B4FF4"/>
    <w:rsid w:val="008B6729"/>
    <w:rsid w:val="008B696D"/>
    <w:rsid w:val="008B7F83"/>
    <w:rsid w:val="008C085A"/>
    <w:rsid w:val="008C1366"/>
    <w:rsid w:val="008C1A20"/>
    <w:rsid w:val="008C21F3"/>
    <w:rsid w:val="008C2FB5"/>
    <w:rsid w:val="008C302C"/>
    <w:rsid w:val="008C4CAB"/>
    <w:rsid w:val="008C6461"/>
    <w:rsid w:val="008C6BA4"/>
    <w:rsid w:val="008C6F82"/>
    <w:rsid w:val="008C77D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7BEF"/>
    <w:rsid w:val="008F7CE1"/>
    <w:rsid w:val="0090053B"/>
    <w:rsid w:val="00900E59"/>
    <w:rsid w:val="00900FCF"/>
    <w:rsid w:val="00901298"/>
    <w:rsid w:val="009019BB"/>
    <w:rsid w:val="00902919"/>
    <w:rsid w:val="0090315B"/>
    <w:rsid w:val="009033B0"/>
    <w:rsid w:val="00904350"/>
    <w:rsid w:val="00905926"/>
    <w:rsid w:val="0090604A"/>
    <w:rsid w:val="00906245"/>
    <w:rsid w:val="009078AB"/>
    <w:rsid w:val="0091055E"/>
    <w:rsid w:val="00912C5D"/>
    <w:rsid w:val="00912EC7"/>
    <w:rsid w:val="00913D40"/>
    <w:rsid w:val="009153A2"/>
    <w:rsid w:val="0091571A"/>
    <w:rsid w:val="00915AC4"/>
    <w:rsid w:val="0091681B"/>
    <w:rsid w:val="00920A1E"/>
    <w:rsid w:val="00920C71"/>
    <w:rsid w:val="009227DD"/>
    <w:rsid w:val="00923015"/>
    <w:rsid w:val="009234D0"/>
    <w:rsid w:val="00925013"/>
    <w:rsid w:val="00925024"/>
    <w:rsid w:val="00925655"/>
    <w:rsid w:val="00925733"/>
    <w:rsid w:val="009257A8"/>
    <w:rsid w:val="009261C8"/>
    <w:rsid w:val="00926D03"/>
    <w:rsid w:val="00926F76"/>
    <w:rsid w:val="00927A51"/>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3CB"/>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98F"/>
    <w:rsid w:val="00963FEC"/>
    <w:rsid w:val="0096422F"/>
    <w:rsid w:val="00964AE3"/>
    <w:rsid w:val="00965F05"/>
    <w:rsid w:val="0096720F"/>
    <w:rsid w:val="00967EB4"/>
    <w:rsid w:val="00970033"/>
    <w:rsid w:val="0097036E"/>
    <w:rsid w:val="00970968"/>
    <w:rsid w:val="009718BF"/>
    <w:rsid w:val="00971D6C"/>
    <w:rsid w:val="00973DB2"/>
    <w:rsid w:val="00977EA7"/>
    <w:rsid w:val="00981475"/>
    <w:rsid w:val="00981668"/>
    <w:rsid w:val="0098281B"/>
    <w:rsid w:val="009835F6"/>
    <w:rsid w:val="00984331"/>
    <w:rsid w:val="00984C07"/>
    <w:rsid w:val="00984FB7"/>
    <w:rsid w:val="00985F69"/>
    <w:rsid w:val="00987813"/>
    <w:rsid w:val="00990C18"/>
    <w:rsid w:val="00990C46"/>
    <w:rsid w:val="00990FF8"/>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52A"/>
    <w:rsid w:val="009A3EAC"/>
    <w:rsid w:val="009A40D9"/>
    <w:rsid w:val="009A6C19"/>
    <w:rsid w:val="009B08F7"/>
    <w:rsid w:val="009B0F5B"/>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5D58"/>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35F"/>
    <w:rsid w:val="009E16BB"/>
    <w:rsid w:val="009E4DF0"/>
    <w:rsid w:val="009E56EB"/>
    <w:rsid w:val="009E6AB6"/>
    <w:rsid w:val="009E6B21"/>
    <w:rsid w:val="009E7F27"/>
    <w:rsid w:val="009F1A7D"/>
    <w:rsid w:val="009F24A1"/>
    <w:rsid w:val="009F3431"/>
    <w:rsid w:val="009F3838"/>
    <w:rsid w:val="009F3ECD"/>
    <w:rsid w:val="009F4B19"/>
    <w:rsid w:val="009F5F05"/>
    <w:rsid w:val="009F701F"/>
    <w:rsid w:val="009F7315"/>
    <w:rsid w:val="009F73D1"/>
    <w:rsid w:val="009F7C15"/>
    <w:rsid w:val="00A00D40"/>
    <w:rsid w:val="00A015B7"/>
    <w:rsid w:val="00A04A93"/>
    <w:rsid w:val="00A073B6"/>
    <w:rsid w:val="00A07569"/>
    <w:rsid w:val="00A07749"/>
    <w:rsid w:val="00A078FB"/>
    <w:rsid w:val="00A10CE1"/>
    <w:rsid w:val="00A10CED"/>
    <w:rsid w:val="00A128C6"/>
    <w:rsid w:val="00A135B7"/>
    <w:rsid w:val="00A143CE"/>
    <w:rsid w:val="00A16D9B"/>
    <w:rsid w:val="00A17C17"/>
    <w:rsid w:val="00A20B0A"/>
    <w:rsid w:val="00A21A49"/>
    <w:rsid w:val="00A231E9"/>
    <w:rsid w:val="00A2709D"/>
    <w:rsid w:val="00A307AE"/>
    <w:rsid w:val="00A35E8B"/>
    <w:rsid w:val="00A3669F"/>
    <w:rsid w:val="00A417DA"/>
    <w:rsid w:val="00A419EC"/>
    <w:rsid w:val="00A41A01"/>
    <w:rsid w:val="00A429A9"/>
    <w:rsid w:val="00A42BEB"/>
    <w:rsid w:val="00A43CFF"/>
    <w:rsid w:val="00A43D73"/>
    <w:rsid w:val="00A47719"/>
    <w:rsid w:val="00A47C63"/>
    <w:rsid w:val="00A47EAB"/>
    <w:rsid w:val="00A47FC0"/>
    <w:rsid w:val="00A5068D"/>
    <w:rsid w:val="00A509B4"/>
    <w:rsid w:val="00A51D10"/>
    <w:rsid w:val="00A52A75"/>
    <w:rsid w:val="00A5427A"/>
    <w:rsid w:val="00A54C7B"/>
    <w:rsid w:val="00A54CFD"/>
    <w:rsid w:val="00A5639F"/>
    <w:rsid w:val="00A57040"/>
    <w:rsid w:val="00A60038"/>
    <w:rsid w:val="00A60064"/>
    <w:rsid w:val="00A61E42"/>
    <w:rsid w:val="00A64F90"/>
    <w:rsid w:val="00A65A2B"/>
    <w:rsid w:val="00A65C3B"/>
    <w:rsid w:val="00A65F4D"/>
    <w:rsid w:val="00A70170"/>
    <w:rsid w:val="00A726C7"/>
    <w:rsid w:val="00A7409C"/>
    <w:rsid w:val="00A752B5"/>
    <w:rsid w:val="00A774B4"/>
    <w:rsid w:val="00A77927"/>
    <w:rsid w:val="00A81734"/>
    <w:rsid w:val="00A81791"/>
    <w:rsid w:val="00A8195D"/>
    <w:rsid w:val="00A81DC9"/>
    <w:rsid w:val="00A82923"/>
    <w:rsid w:val="00A83203"/>
    <w:rsid w:val="00A8372C"/>
    <w:rsid w:val="00A8448C"/>
    <w:rsid w:val="00A855FA"/>
    <w:rsid w:val="00A905C6"/>
    <w:rsid w:val="00A90A0B"/>
    <w:rsid w:val="00A91418"/>
    <w:rsid w:val="00A91A18"/>
    <w:rsid w:val="00A9244B"/>
    <w:rsid w:val="00A932DF"/>
    <w:rsid w:val="00A947CF"/>
    <w:rsid w:val="00A94DEE"/>
    <w:rsid w:val="00A95905"/>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02AD"/>
    <w:rsid w:val="00AC1DCF"/>
    <w:rsid w:val="00AC23B1"/>
    <w:rsid w:val="00AC260E"/>
    <w:rsid w:val="00AC2AF9"/>
    <w:rsid w:val="00AC2F71"/>
    <w:rsid w:val="00AC47A6"/>
    <w:rsid w:val="00AC4BF4"/>
    <w:rsid w:val="00AC60C5"/>
    <w:rsid w:val="00AC78ED"/>
    <w:rsid w:val="00AD02D3"/>
    <w:rsid w:val="00AD3675"/>
    <w:rsid w:val="00AD56A9"/>
    <w:rsid w:val="00AD5B9C"/>
    <w:rsid w:val="00AD69C4"/>
    <w:rsid w:val="00AD6F0C"/>
    <w:rsid w:val="00AE1C5F"/>
    <w:rsid w:val="00AE23DD"/>
    <w:rsid w:val="00AE2B99"/>
    <w:rsid w:val="00AE3899"/>
    <w:rsid w:val="00AE6CD2"/>
    <w:rsid w:val="00AE776A"/>
    <w:rsid w:val="00AF1F68"/>
    <w:rsid w:val="00AF27B7"/>
    <w:rsid w:val="00AF2BB2"/>
    <w:rsid w:val="00AF3C5D"/>
    <w:rsid w:val="00AF726A"/>
    <w:rsid w:val="00AF7AB4"/>
    <w:rsid w:val="00AF7B91"/>
    <w:rsid w:val="00B00015"/>
    <w:rsid w:val="00B04304"/>
    <w:rsid w:val="00B043A6"/>
    <w:rsid w:val="00B04427"/>
    <w:rsid w:val="00B06DE8"/>
    <w:rsid w:val="00B078A9"/>
    <w:rsid w:val="00B07AE1"/>
    <w:rsid w:val="00B07D23"/>
    <w:rsid w:val="00B12968"/>
    <w:rsid w:val="00B131FF"/>
    <w:rsid w:val="00B13498"/>
    <w:rsid w:val="00B13DA2"/>
    <w:rsid w:val="00B1672A"/>
    <w:rsid w:val="00B16E71"/>
    <w:rsid w:val="00B174BD"/>
    <w:rsid w:val="00B20690"/>
    <w:rsid w:val="00B20B2A"/>
    <w:rsid w:val="00B2129B"/>
    <w:rsid w:val="00B22FA7"/>
    <w:rsid w:val="00B23592"/>
    <w:rsid w:val="00B24845"/>
    <w:rsid w:val="00B26370"/>
    <w:rsid w:val="00B27039"/>
    <w:rsid w:val="00B27D18"/>
    <w:rsid w:val="00B300DB"/>
    <w:rsid w:val="00B30EA5"/>
    <w:rsid w:val="00B32BEC"/>
    <w:rsid w:val="00B354E1"/>
    <w:rsid w:val="00B35B87"/>
    <w:rsid w:val="00B40556"/>
    <w:rsid w:val="00B4295B"/>
    <w:rsid w:val="00B42F7A"/>
    <w:rsid w:val="00B43107"/>
    <w:rsid w:val="00B45AC4"/>
    <w:rsid w:val="00B45E0A"/>
    <w:rsid w:val="00B46D48"/>
    <w:rsid w:val="00B47A18"/>
    <w:rsid w:val="00B51CD5"/>
    <w:rsid w:val="00B53824"/>
    <w:rsid w:val="00B53857"/>
    <w:rsid w:val="00B54009"/>
    <w:rsid w:val="00B54B6C"/>
    <w:rsid w:val="00B56FB1"/>
    <w:rsid w:val="00B57130"/>
    <w:rsid w:val="00B6083F"/>
    <w:rsid w:val="00B61504"/>
    <w:rsid w:val="00B62E95"/>
    <w:rsid w:val="00B63ABC"/>
    <w:rsid w:val="00B64D3D"/>
    <w:rsid w:val="00B64F0A"/>
    <w:rsid w:val="00B6562C"/>
    <w:rsid w:val="00B6729E"/>
    <w:rsid w:val="00B720C9"/>
    <w:rsid w:val="00B725EE"/>
    <w:rsid w:val="00B7391B"/>
    <w:rsid w:val="00B73ACC"/>
    <w:rsid w:val="00B743E7"/>
    <w:rsid w:val="00B74B80"/>
    <w:rsid w:val="00B764DB"/>
    <w:rsid w:val="00B768A9"/>
    <w:rsid w:val="00B76E90"/>
    <w:rsid w:val="00B773ED"/>
    <w:rsid w:val="00B8005C"/>
    <w:rsid w:val="00B82E5F"/>
    <w:rsid w:val="00B84B48"/>
    <w:rsid w:val="00B84B59"/>
    <w:rsid w:val="00B864DF"/>
    <w:rsid w:val="00B8666B"/>
    <w:rsid w:val="00B904F4"/>
    <w:rsid w:val="00B90BD1"/>
    <w:rsid w:val="00B92536"/>
    <w:rsid w:val="00B9274D"/>
    <w:rsid w:val="00B94207"/>
    <w:rsid w:val="00B945D4"/>
    <w:rsid w:val="00B94F6E"/>
    <w:rsid w:val="00B9506C"/>
    <w:rsid w:val="00B97B50"/>
    <w:rsid w:val="00BA3959"/>
    <w:rsid w:val="00BA4AFC"/>
    <w:rsid w:val="00BA563D"/>
    <w:rsid w:val="00BB1855"/>
    <w:rsid w:val="00BB2332"/>
    <w:rsid w:val="00BB239F"/>
    <w:rsid w:val="00BB2494"/>
    <w:rsid w:val="00BB2522"/>
    <w:rsid w:val="00BB28A3"/>
    <w:rsid w:val="00BB5218"/>
    <w:rsid w:val="00BB72C0"/>
    <w:rsid w:val="00BB7F2F"/>
    <w:rsid w:val="00BB7FF3"/>
    <w:rsid w:val="00BC0AF1"/>
    <w:rsid w:val="00BC0D54"/>
    <w:rsid w:val="00BC27BE"/>
    <w:rsid w:val="00BC3779"/>
    <w:rsid w:val="00BC41A0"/>
    <w:rsid w:val="00BC43D8"/>
    <w:rsid w:val="00BD0186"/>
    <w:rsid w:val="00BD1661"/>
    <w:rsid w:val="00BD2561"/>
    <w:rsid w:val="00BD6178"/>
    <w:rsid w:val="00BD6348"/>
    <w:rsid w:val="00BE147F"/>
    <w:rsid w:val="00BE1BBC"/>
    <w:rsid w:val="00BE46B5"/>
    <w:rsid w:val="00BE6663"/>
    <w:rsid w:val="00BE6E4A"/>
    <w:rsid w:val="00BF0917"/>
    <w:rsid w:val="00BF0CD7"/>
    <w:rsid w:val="00BF108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E6A"/>
    <w:rsid w:val="00C211E6"/>
    <w:rsid w:val="00C22446"/>
    <w:rsid w:val="00C22681"/>
    <w:rsid w:val="00C22FB5"/>
    <w:rsid w:val="00C24236"/>
    <w:rsid w:val="00C24CBF"/>
    <w:rsid w:val="00C25C66"/>
    <w:rsid w:val="00C2710B"/>
    <w:rsid w:val="00C279C2"/>
    <w:rsid w:val="00C3183E"/>
    <w:rsid w:val="00C33531"/>
    <w:rsid w:val="00C33B9E"/>
    <w:rsid w:val="00C34194"/>
    <w:rsid w:val="00C34465"/>
    <w:rsid w:val="00C35EF7"/>
    <w:rsid w:val="00C36B10"/>
    <w:rsid w:val="00C37BAE"/>
    <w:rsid w:val="00C4043D"/>
    <w:rsid w:val="00C40DAA"/>
    <w:rsid w:val="00C415D9"/>
    <w:rsid w:val="00C41F7E"/>
    <w:rsid w:val="00C42A1B"/>
    <w:rsid w:val="00C42B41"/>
    <w:rsid w:val="00C42C1F"/>
    <w:rsid w:val="00C44566"/>
    <w:rsid w:val="00C44A8D"/>
    <w:rsid w:val="00C44CF8"/>
    <w:rsid w:val="00C45B91"/>
    <w:rsid w:val="00C460A1"/>
    <w:rsid w:val="00C4789C"/>
    <w:rsid w:val="00C52C02"/>
    <w:rsid w:val="00C52DCB"/>
    <w:rsid w:val="00C57EE8"/>
    <w:rsid w:val="00C61062"/>
    <w:rsid w:val="00C61072"/>
    <w:rsid w:val="00C6243C"/>
    <w:rsid w:val="00C62F54"/>
    <w:rsid w:val="00C63AEA"/>
    <w:rsid w:val="00C670FE"/>
    <w:rsid w:val="00C67BBF"/>
    <w:rsid w:val="00C67C6B"/>
    <w:rsid w:val="00C7005B"/>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7D77"/>
    <w:rsid w:val="00CA0AF1"/>
    <w:rsid w:val="00CA103E"/>
    <w:rsid w:val="00CA6C45"/>
    <w:rsid w:val="00CA74F6"/>
    <w:rsid w:val="00CA7603"/>
    <w:rsid w:val="00CB364E"/>
    <w:rsid w:val="00CB37B8"/>
    <w:rsid w:val="00CB4F1A"/>
    <w:rsid w:val="00CB58B4"/>
    <w:rsid w:val="00CB6336"/>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CF7D84"/>
    <w:rsid w:val="00D006CF"/>
    <w:rsid w:val="00D007DF"/>
    <w:rsid w:val="00D008A6"/>
    <w:rsid w:val="00D00960"/>
    <w:rsid w:val="00D00B74"/>
    <w:rsid w:val="00D015F0"/>
    <w:rsid w:val="00D02252"/>
    <w:rsid w:val="00D0283B"/>
    <w:rsid w:val="00D02C17"/>
    <w:rsid w:val="00D0447B"/>
    <w:rsid w:val="00D046B4"/>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22AF"/>
    <w:rsid w:val="00D23A38"/>
    <w:rsid w:val="00D24C18"/>
    <w:rsid w:val="00D252FA"/>
    <w:rsid w:val="00D2574C"/>
    <w:rsid w:val="00D26C8B"/>
    <w:rsid w:val="00D26D79"/>
    <w:rsid w:val="00D27C2B"/>
    <w:rsid w:val="00D33363"/>
    <w:rsid w:val="00D34529"/>
    <w:rsid w:val="00D34943"/>
    <w:rsid w:val="00D34A2B"/>
    <w:rsid w:val="00D35409"/>
    <w:rsid w:val="00D359D4"/>
    <w:rsid w:val="00D3621E"/>
    <w:rsid w:val="00D3792D"/>
    <w:rsid w:val="00D41B88"/>
    <w:rsid w:val="00D41E23"/>
    <w:rsid w:val="00D42245"/>
    <w:rsid w:val="00D429EC"/>
    <w:rsid w:val="00D43D44"/>
    <w:rsid w:val="00D43EBB"/>
    <w:rsid w:val="00D44E4E"/>
    <w:rsid w:val="00D46D26"/>
    <w:rsid w:val="00D51254"/>
    <w:rsid w:val="00D51627"/>
    <w:rsid w:val="00D51E1A"/>
    <w:rsid w:val="00D52344"/>
    <w:rsid w:val="00D5234B"/>
    <w:rsid w:val="00D532DA"/>
    <w:rsid w:val="00D54AAC"/>
    <w:rsid w:val="00D54B32"/>
    <w:rsid w:val="00D55DF0"/>
    <w:rsid w:val="00D563E1"/>
    <w:rsid w:val="00D56BB6"/>
    <w:rsid w:val="00D6022B"/>
    <w:rsid w:val="00D60C40"/>
    <w:rsid w:val="00D60FFC"/>
    <w:rsid w:val="00D6138D"/>
    <w:rsid w:val="00D6166E"/>
    <w:rsid w:val="00D63126"/>
    <w:rsid w:val="00D63A67"/>
    <w:rsid w:val="00D646C9"/>
    <w:rsid w:val="00D6492E"/>
    <w:rsid w:val="00D65845"/>
    <w:rsid w:val="00D70087"/>
    <w:rsid w:val="00D7079E"/>
    <w:rsid w:val="00D70823"/>
    <w:rsid w:val="00D70AB1"/>
    <w:rsid w:val="00D70F23"/>
    <w:rsid w:val="00D71A45"/>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4F66"/>
    <w:rsid w:val="00D95BC7"/>
    <w:rsid w:val="00D95C17"/>
    <w:rsid w:val="00D96043"/>
    <w:rsid w:val="00D9769A"/>
    <w:rsid w:val="00D97779"/>
    <w:rsid w:val="00DA3594"/>
    <w:rsid w:val="00DA52F5"/>
    <w:rsid w:val="00DA73A3"/>
    <w:rsid w:val="00DB0990"/>
    <w:rsid w:val="00DB3080"/>
    <w:rsid w:val="00DB4E12"/>
    <w:rsid w:val="00DB545E"/>
    <w:rsid w:val="00DB5771"/>
    <w:rsid w:val="00DB611E"/>
    <w:rsid w:val="00DC0AB6"/>
    <w:rsid w:val="00DC1DA9"/>
    <w:rsid w:val="00DC21CF"/>
    <w:rsid w:val="00DC3395"/>
    <w:rsid w:val="00DC3664"/>
    <w:rsid w:val="00DC40EA"/>
    <w:rsid w:val="00DC4B9B"/>
    <w:rsid w:val="00DC6EFC"/>
    <w:rsid w:val="00DC7CDE"/>
    <w:rsid w:val="00DD195B"/>
    <w:rsid w:val="00DD2403"/>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104"/>
    <w:rsid w:val="00DF3F4F"/>
    <w:rsid w:val="00DF707E"/>
    <w:rsid w:val="00DF70A1"/>
    <w:rsid w:val="00DF759D"/>
    <w:rsid w:val="00E003AF"/>
    <w:rsid w:val="00E00482"/>
    <w:rsid w:val="00E018C3"/>
    <w:rsid w:val="00E01C15"/>
    <w:rsid w:val="00E03FCA"/>
    <w:rsid w:val="00E052B1"/>
    <w:rsid w:val="00E05886"/>
    <w:rsid w:val="00E05FE9"/>
    <w:rsid w:val="00E06B99"/>
    <w:rsid w:val="00E07383"/>
    <w:rsid w:val="00E104C6"/>
    <w:rsid w:val="00E10C02"/>
    <w:rsid w:val="00E137F4"/>
    <w:rsid w:val="00E13B55"/>
    <w:rsid w:val="00E13E7B"/>
    <w:rsid w:val="00E15173"/>
    <w:rsid w:val="00E164F2"/>
    <w:rsid w:val="00E16F61"/>
    <w:rsid w:val="00E178A7"/>
    <w:rsid w:val="00E20F6A"/>
    <w:rsid w:val="00E21A25"/>
    <w:rsid w:val="00E23303"/>
    <w:rsid w:val="00E239E0"/>
    <w:rsid w:val="00E23BED"/>
    <w:rsid w:val="00E253CA"/>
    <w:rsid w:val="00E274B2"/>
    <w:rsid w:val="00E2771C"/>
    <w:rsid w:val="00E31D50"/>
    <w:rsid w:val="00E324D9"/>
    <w:rsid w:val="00E331FB"/>
    <w:rsid w:val="00E33DF4"/>
    <w:rsid w:val="00E35EDE"/>
    <w:rsid w:val="00E36528"/>
    <w:rsid w:val="00E409B4"/>
    <w:rsid w:val="00E40CF7"/>
    <w:rsid w:val="00E413B8"/>
    <w:rsid w:val="00E424AE"/>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0BBF"/>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E7B"/>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4EEC"/>
    <w:rsid w:val="00EA74F2"/>
    <w:rsid w:val="00EA7552"/>
    <w:rsid w:val="00EA7F5C"/>
    <w:rsid w:val="00EB193D"/>
    <w:rsid w:val="00EB2A71"/>
    <w:rsid w:val="00EB32CF"/>
    <w:rsid w:val="00EB4DDA"/>
    <w:rsid w:val="00EB7598"/>
    <w:rsid w:val="00EB7885"/>
    <w:rsid w:val="00EC0998"/>
    <w:rsid w:val="00EC2805"/>
    <w:rsid w:val="00EC3100"/>
    <w:rsid w:val="00EC32AC"/>
    <w:rsid w:val="00EC3D02"/>
    <w:rsid w:val="00EC437B"/>
    <w:rsid w:val="00EC4CBD"/>
    <w:rsid w:val="00EC4D69"/>
    <w:rsid w:val="00EC59D8"/>
    <w:rsid w:val="00EC703B"/>
    <w:rsid w:val="00EC70D8"/>
    <w:rsid w:val="00EC78F8"/>
    <w:rsid w:val="00ED1008"/>
    <w:rsid w:val="00ED1338"/>
    <w:rsid w:val="00ED1475"/>
    <w:rsid w:val="00ED1AB4"/>
    <w:rsid w:val="00ED288C"/>
    <w:rsid w:val="00ED2C23"/>
    <w:rsid w:val="00ED2CF0"/>
    <w:rsid w:val="00ED6D87"/>
    <w:rsid w:val="00EE081D"/>
    <w:rsid w:val="00EE1058"/>
    <w:rsid w:val="00EE1089"/>
    <w:rsid w:val="00EE3260"/>
    <w:rsid w:val="00EE3AF0"/>
    <w:rsid w:val="00EE3CF3"/>
    <w:rsid w:val="00EE50F0"/>
    <w:rsid w:val="00EE5615"/>
    <w:rsid w:val="00EE586E"/>
    <w:rsid w:val="00EE5BEB"/>
    <w:rsid w:val="00EE6524"/>
    <w:rsid w:val="00EE788B"/>
    <w:rsid w:val="00EF00ED"/>
    <w:rsid w:val="00EF0192"/>
    <w:rsid w:val="00EF0196"/>
    <w:rsid w:val="00EF06A8"/>
    <w:rsid w:val="00EF0943"/>
    <w:rsid w:val="00EF0EAD"/>
    <w:rsid w:val="00EF4CB1"/>
    <w:rsid w:val="00EF4F92"/>
    <w:rsid w:val="00EF5798"/>
    <w:rsid w:val="00EF60A5"/>
    <w:rsid w:val="00EF60E5"/>
    <w:rsid w:val="00EF6A0C"/>
    <w:rsid w:val="00EF6E7F"/>
    <w:rsid w:val="00F01D8F"/>
    <w:rsid w:val="00F01D93"/>
    <w:rsid w:val="00F0316E"/>
    <w:rsid w:val="00F038C9"/>
    <w:rsid w:val="00F05A4D"/>
    <w:rsid w:val="00F06BB9"/>
    <w:rsid w:val="00F10BAB"/>
    <w:rsid w:val="00F121C4"/>
    <w:rsid w:val="00F14472"/>
    <w:rsid w:val="00F1635C"/>
    <w:rsid w:val="00F17235"/>
    <w:rsid w:val="00F17B96"/>
    <w:rsid w:val="00F20B40"/>
    <w:rsid w:val="00F2269A"/>
    <w:rsid w:val="00F22775"/>
    <w:rsid w:val="00F228A5"/>
    <w:rsid w:val="00F246D4"/>
    <w:rsid w:val="00F269DC"/>
    <w:rsid w:val="00F27832"/>
    <w:rsid w:val="00F30811"/>
    <w:rsid w:val="00F309E2"/>
    <w:rsid w:val="00F30C2D"/>
    <w:rsid w:val="00F318BD"/>
    <w:rsid w:val="00F32557"/>
    <w:rsid w:val="00F32CE9"/>
    <w:rsid w:val="00F332EF"/>
    <w:rsid w:val="00F33A6A"/>
    <w:rsid w:val="00F34D8E"/>
    <w:rsid w:val="00F3515A"/>
    <w:rsid w:val="00F3674D"/>
    <w:rsid w:val="00F36967"/>
    <w:rsid w:val="00F36D18"/>
    <w:rsid w:val="00F37587"/>
    <w:rsid w:val="00F4079E"/>
    <w:rsid w:val="00F40B14"/>
    <w:rsid w:val="00F42101"/>
    <w:rsid w:val="00F42EAA"/>
    <w:rsid w:val="00F42EE0"/>
    <w:rsid w:val="00F434A9"/>
    <w:rsid w:val="00F437C4"/>
    <w:rsid w:val="00F43853"/>
    <w:rsid w:val="00F442FF"/>
    <w:rsid w:val="00F446A0"/>
    <w:rsid w:val="00F44BAE"/>
    <w:rsid w:val="00F47A0A"/>
    <w:rsid w:val="00F47A79"/>
    <w:rsid w:val="00F47F5C"/>
    <w:rsid w:val="00F51928"/>
    <w:rsid w:val="00F543B3"/>
    <w:rsid w:val="00F5467A"/>
    <w:rsid w:val="00F5643A"/>
    <w:rsid w:val="00F56596"/>
    <w:rsid w:val="00F57348"/>
    <w:rsid w:val="00F62236"/>
    <w:rsid w:val="00F63D61"/>
    <w:rsid w:val="00F642AF"/>
    <w:rsid w:val="00F650B4"/>
    <w:rsid w:val="00F65901"/>
    <w:rsid w:val="00F66B95"/>
    <w:rsid w:val="00F673F1"/>
    <w:rsid w:val="00F706AA"/>
    <w:rsid w:val="00F715D0"/>
    <w:rsid w:val="00F717E7"/>
    <w:rsid w:val="00F724A1"/>
    <w:rsid w:val="00F7288E"/>
    <w:rsid w:val="00F732AC"/>
    <w:rsid w:val="00F740FA"/>
    <w:rsid w:val="00F75B46"/>
    <w:rsid w:val="00F7632C"/>
    <w:rsid w:val="00F76FDC"/>
    <w:rsid w:val="00F771C6"/>
    <w:rsid w:val="00F77ED7"/>
    <w:rsid w:val="00F80F5D"/>
    <w:rsid w:val="00F8220E"/>
    <w:rsid w:val="00F83143"/>
    <w:rsid w:val="00F84564"/>
    <w:rsid w:val="00F84C17"/>
    <w:rsid w:val="00F853F3"/>
    <w:rsid w:val="00F8591B"/>
    <w:rsid w:val="00F8655C"/>
    <w:rsid w:val="00F90BCA"/>
    <w:rsid w:val="00F90E1A"/>
    <w:rsid w:val="00F91B79"/>
    <w:rsid w:val="00F94B27"/>
    <w:rsid w:val="00F96626"/>
    <w:rsid w:val="00F96946"/>
    <w:rsid w:val="00F96AF9"/>
    <w:rsid w:val="00F97131"/>
    <w:rsid w:val="00F9720F"/>
    <w:rsid w:val="00F97292"/>
    <w:rsid w:val="00F97B4B"/>
    <w:rsid w:val="00F97C84"/>
    <w:rsid w:val="00FA0156"/>
    <w:rsid w:val="00FA166A"/>
    <w:rsid w:val="00FA2CF6"/>
    <w:rsid w:val="00FA2E89"/>
    <w:rsid w:val="00FA3065"/>
    <w:rsid w:val="00FA3EBB"/>
    <w:rsid w:val="00FA52F9"/>
    <w:rsid w:val="00FA6336"/>
    <w:rsid w:val="00FB02E7"/>
    <w:rsid w:val="00FB0346"/>
    <w:rsid w:val="00FB0E61"/>
    <w:rsid w:val="00FB10FF"/>
    <w:rsid w:val="00FB1AF9"/>
    <w:rsid w:val="00FB1D69"/>
    <w:rsid w:val="00FB2812"/>
    <w:rsid w:val="00FB3570"/>
    <w:rsid w:val="00FB48BC"/>
    <w:rsid w:val="00FB5408"/>
    <w:rsid w:val="00FB6CE2"/>
    <w:rsid w:val="00FB7100"/>
    <w:rsid w:val="00FC0636"/>
    <w:rsid w:val="00FC0C6F"/>
    <w:rsid w:val="00FC14C7"/>
    <w:rsid w:val="00FC24A7"/>
    <w:rsid w:val="00FC2758"/>
    <w:rsid w:val="00FC3523"/>
    <w:rsid w:val="00FC3C3B"/>
    <w:rsid w:val="00FC44C4"/>
    <w:rsid w:val="00FC4F7B"/>
    <w:rsid w:val="00FC54FD"/>
    <w:rsid w:val="00FC755A"/>
    <w:rsid w:val="00FD05FD"/>
    <w:rsid w:val="00FD0D32"/>
    <w:rsid w:val="00FD1F94"/>
    <w:rsid w:val="00FD21A7"/>
    <w:rsid w:val="00FD291A"/>
    <w:rsid w:val="00FD3347"/>
    <w:rsid w:val="00FD40E9"/>
    <w:rsid w:val="00FD495B"/>
    <w:rsid w:val="00FD563C"/>
    <w:rsid w:val="00FD7017"/>
    <w:rsid w:val="00FD7EC3"/>
    <w:rsid w:val="00FE0C73"/>
    <w:rsid w:val="00FE0F38"/>
    <w:rsid w:val="00FE108E"/>
    <w:rsid w:val="00FE10F9"/>
    <w:rsid w:val="00FE126B"/>
    <w:rsid w:val="00FE2356"/>
    <w:rsid w:val="00FE2629"/>
    <w:rsid w:val="00FE3AAE"/>
    <w:rsid w:val="00FE40B5"/>
    <w:rsid w:val="00FE42A5"/>
    <w:rsid w:val="00FE660C"/>
    <w:rsid w:val="00FF0F2A"/>
    <w:rsid w:val="00FF105A"/>
    <w:rsid w:val="00FF492B"/>
    <w:rsid w:val="00FF5EC7"/>
    <w:rsid w:val="00FF6A4C"/>
    <w:rsid w:val="00FF7815"/>
    <w:rsid w:val="00FF7892"/>
    <w:rsid w:val="17E1AEF1"/>
    <w:rsid w:val="1BB52D62"/>
    <w:rsid w:val="390EC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7AF5868F-D2FA-4EF5-A2BA-11B95A22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4406B"/>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4406B"/>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4406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4406B"/>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4406B"/>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4406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4406B"/>
    <w:pPr>
      <w:tabs>
        <w:tab w:val="right" w:leader="dot" w:pos="14570"/>
      </w:tabs>
      <w:spacing w:before="0"/>
    </w:pPr>
    <w:rPr>
      <w:b/>
      <w:noProof/>
    </w:rPr>
  </w:style>
  <w:style w:type="paragraph" w:styleId="TOC2">
    <w:name w:val="toc 2"/>
    <w:aliases w:val="ŠTOC 2"/>
    <w:basedOn w:val="TOC1"/>
    <w:next w:val="Normal"/>
    <w:uiPriority w:val="39"/>
    <w:unhideWhenUsed/>
    <w:rsid w:val="0004406B"/>
    <w:rPr>
      <w:b w:val="0"/>
      <w:bCs/>
    </w:rPr>
  </w:style>
  <w:style w:type="paragraph" w:styleId="Header">
    <w:name w:val="header"/>
    <w:aliases w:val="ŠHeader - Cover Page,ŠHeader"/>
    <w:basedOn w:val="Normal"/>
    <w:link w:val="HeaderChar"/>
    <w:uiPriority w:val="24"/>
    <w:unhideWhenUsed/>
    <w:rsid w:val="0004406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4406B"/>
    <w:rPr>
      <w:rFonts w:ascii="Arial" w:hAnsi="Arial" w:cs="Arial"/>
      <w:color w:val="002664"/>
      <w:sz w:val="32"/>
      <w:szCs w:val="32"/>
      <w:lang w:val="en-AU"/>
    </w:rPr>
  </w:style>
  <w:style w:type="character" w:customStyle="1" w:styleId="HeaderChar">
    <w:name w:val="Header Char"/>
    <w:aliases w:val="ŠHeader - Cover Page Char,ŠHeader Char"/>
    <w:basedOn w:val="DefaultParagraphFont"/>
    <w:link w:val="Header"/>
    <w:uiPriority w:val="24"/>
    <w:rsid w:val="0004406B"/>
    <w:rPr>
      <w:rFonts w:ascii="Arial" w:hAnsi="Arial" w:cs="Arial"/>
      <w:b/>
      <w:bCs/>
      <w:color w:val="002664"/>
      <w:lang w:val="en-AU"/>
    </w:rPr>
  </w:style>
  <w:style w:type="paragraph" w:styleId="Footer">
    <w:name w:val="footer"/>
    <w:aliases w:val="ŠFooter"/>
    <w:basedOn w:val="Normal"/>
    <w:link w:val="FooterChar"/>
    <w:uiPriority w:val="99"/>
    <w:rsid w:val="0004406B"/>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4406B"/>
    <w:rPr>
      <w:rFonts w:ascii="Arial" w:hAnsi="Arial" w:cs="Arial"/>
      <w:sz w:val="18"/>
      <w:szCs w:val="18"/>
      <w:lang w:val="en-AU"/>
    </w:rPr>
  </w:style>
  <w:style w:type="paragraph" w:styleId="Caption">
    <w:name w:val="caption"/>
    <w:aliases w:val="ŠCaption"/>
    <w:basedOn w:val="Normal"/>
    <w:next w:val="Normal"/>
    <w:uiPriority w:val="35"/>
    <w:qFormat/>
    <w:rsid w:val="0004406B"/>
    <w:pPr>
      <w:keepNext/>
      <w:spacing w:after="200" w:line="240" w:lineRule="auto"/>
    </w:pPr>
    <w:rPr>
      <w:b/>
      <w:iCs/>
      <w:szCs w:val="18"/>
    </w:rPr>
  </w:style>
  <w:style w:type="paragraph" w:customStyle="1" w:styleId="Logo">
    <w:name w:val="ŠLogo"/>
    <w:basedOn w:val="Normal"/>
    <w:uiPriority w:val="22"/>
    <w:qFormat/>
    <w:rsid w:val="0004406B"/>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4406B"/>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4406B"/>
    <w:rPr>
      <w:color w:val="2F5496" w:themeColor="accent1" w:themeShade="BF"/>
      <w:u w:val="single"/>
    </w:rPr>
  </w:style>
  <w:style w:type="character" w:styleId="SubtleReference">
    <w:name w:val="Subtle Reference"/>
    <w:aliases w:val="ŠSubtle Reference"/>
    <w:uiPriority w:val="31"/>
    <w:qFormat/>
    <w:rsid w:val="0004406B"/>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4406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4406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4406B"/>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4406B"/>
    <w:rPr>
      <w:rFonts w:ascii="Arial" w:hAnsi="Arial" w:cs="Arial"/>
      <w:b/>
      <w:bCs/>
      <w:color w:val="002664"/>
      <w:sz w:val="36"/>
      <w:szCs w:val="36"/>
      <w:lang w:val="en-AU"/>
    </w:rPr>
  </w:style>
  <w:style w:type="table" w:customStyle="1" w:styleId="Tableheader">
    <w:name w:val="ŠTable header"/>
    <w:basedOn w:val="TableNormal"/>
    <w:uiPriority w:val="99"/>
    <w:rsid w:val="0004406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4406B"/>
    <w:pPr>
      <w:numPr>
        <w:numId w:val="2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4406B"/>
    <w:pPr>
      <w:keepNext/>
      <w:spacing w:before="200" w:after="200" w:line="240" w:lineRule="atLeast"/>
      <w:ind w:left="567" w:right="567"/>
    </w:pPr>
  </w:style>
  <w:style w:type="paragraph" w:styleId="ListBullet2">
    <w:name w:val="List Bullet 2"/>
    <w:aliases w:val="ŠList Bullet 2"/>
    <w:basedOn w:val="Normal"/>
    <w:uiPriority w:val="11"/>
    <w:qFormat/>
    <w:rsid w:val="0004406B"/>
    <w:pPr>
      <w:numPr>
        <w:numId w:val="1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4406B"/>
    <w:pPr>
      <w:numPr>
        <w:numId w:val="21"/>
      </w:numPr>
      <w:contextualSpacing/>
    </w:pPr>
  </w:style>
  <w:style w:type="character" w:styleId="Strong">
    <w:name w:val="Strong"/>
    <w:aliases w:val="ŠStrong"/>
    <w:uiPriority w:val="1"/>
    <w:qFormat/>
    <w:rsid w:val="0004406B"/>
    <w:rPr>
      <w:b/>
    </w:rPr>
  </w:style>
  <w:style w:type="paragraph" w:styleId="ListBullet">
    <w:name w:val="List Bullet"/>
    <w:aliases w:val="ŠList Bullet"/>
    <w:basedOn w:val="Normal"/>
    <w:uiPriority w:val="10"/>
    <w:qFormat/>
    <w:rsid w:val="0004406B"/>
    <w:pPr>
      <w:numPr>
        <w:numId w:val="22"/>
      </w:numPr>
      <w:contextualSpacing/>
    </w:pPr>
  </w:style>
  <w:style w:type="character" w:customStyle="1" w:styleId="QuoteChar">
    <w:name w:val="Quote Char"/>
    <w:aliases w:val="ŠQuote Char"/>
    <w:basedOn w:val="DefaultParagraphFont"/>
    <w:link w:val="Quote"/>
    <w:uiPriority w:val="29"/>
    <w:rsid w:val="0004406B"/>
    <w:rPr>
      <w:rFonts w:ascii="Arial" w:hAnsi="Arial" w:cs="Arial"/>
      <w:lang w:val="en-AU"/>
    </w:rPr>
  </w:style>
  <w:style w:type="character" w:styleId="Emphasis">
    <w:name w:val="Emphasis"/>
    <w:aliases w:val="ŠLanguage or scientific"/>
    <w:uiPriority w:val="20"/>
    <w:qFormat/>
    <w:rsid w:val="0004406B"/>
    <w:rPr>
      <w:i/>
      <w:iCs/>
    </w:rPr>
  </w:style>
  <w:style w:type="paragraph" w:styleId="Title">
    <w:name w:val="Title"/>
    <w:aliases w:val="ŠTitle"/>
    <w:basedOn w:val="Normal"/>
    <w:next w:val="Normal"/>
    <w:link w:val="TitleChar"/>
    <w:uiPriority w:val="2"/>
    <w:qFormat/>
    <w:rsid w:val="0004406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4406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4406B"/>
    <w:pPr>
      <w:spacing w:before="0" w:line="720" w:lineRule="atLeast"/>
    </w:pPr>
  </w:style>
  <w:style w:type="character" w:customStyle="1" w:styleId="DateChar">
    <w:name w:val="Date Char"/>
    <w:aliases w:val="ŠDate Char"/>
    <w:basedOn w:val="DefaultParagraphFont"/>
    <w:link w:val="Date"/>
    <w:uiPriority w:val="99"/>
    <w:rsid w:val="0004406B"/>
    <w:rPr>
      <w:rFonts w:ascii="Arial" w:hAnsi="Arial" w:cs="Arial"/>
      <w:lang w:val="en-AU"/>
    </w:rPr>
  </w:style>
  <w:style w:type="paragraph" w:styleId="Signature">
    <w:name w:val="Signature"/>
    <w:aliases w:val="ŠSignature"/>
    <w:basedOn w:val="Normal"/>
    <w:link w:val="SignatureChar"/>
    <w:uiPriority w:val="99"/>
    <w:rsid w:val="0004406B"/>
    <w:pPr>
      <w:spacing w:before="0" w:line="720" w:lineRule="atLeast"/>
    </w:pPr>
  </w:style>
  <w:style w:type="character" w:customStyle="1" w:styleId="SignatureChar">
    <w:name w:val="Signature Char"/>
    <w:aliases w:val="ŠSignature Char"/>
    <w:basedOn w:val="DefaultParagraphFont"/>
    <w:link w:val="Signature"/>
    <w:uiPriority w:val="99"/>
    <w:rsid w:val="0004406B"/>
    <w:rPr>
      <w:rFonts w:ascii="Arial" w:hAnsi="Arial" w:cs="Arial"/>
      <w:lang w:val="en-AU"/>
    </w:rPr>
  </w:style>
  <w:style w:type="paragraph" w:styleId="TableofFigures">
    <w:name w:val="table of figures"/>
    <w:basedOn w:val="Normal"/>
    <w:next w:val="Normal"/>
    <w:uiPriority w:val="99"/>
    <w:unhideWhenUsed/>
    <w:rsid w:val="0004406B"/>
  </w:style>
  <w:style w:type="table" w:styleId="TableGrid">
    <w:name w:val="Table Grid"/>
    <w:basedOn w:val="TableNormal"/>
    <w:uiPriority w:val="39"/>
    <w:rsid w:val="0004406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4406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4406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NormalWeb">
    <w:name w:val="Normal (Web)"/>
    <w:basedOn w:val="Normal"/>
    <w:uiPriority w:val="99"/>
    <w:semiHidden/>
    <w:unhideWhenUsed/>
    <w:rsid w:val="00CA0AF1"/>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04406B"/>
    <w:rPr>
      <w:color w:val="605E5C"/>
      <w:shd w:val="clear" w:color="auto" w:fill="E1DFDD"/>
    </w:rPr>
  </w:style>
  <w:style w:type="paragraph" w:styleId="ListParagraph">
    <w:name w:val="List Paragraph"/>
    <w:basedOn w:val="Normal"/>
    <w:uiPriority w:val="34"/>
    <w:unhideWhenUsed/>
    <w:qFormat/>
    <w:rsid w:val="0004406B"/>
    <w:pPr>
      <w:ind w:left="720"/>
      <w:contextualSpacing/>
    </w:pPr>
  </w:style>
  <w:style w:type="paragraph" w:customStyle="1" w:styleId="paragraph">
    <w:name w:val="paragraph"/>
    <w:basedOn w:val="Normal"/>
    <w:rsid w:val="00E06B99"/>
    <w:pPr>
      <w:spacing w:before="100" w:beforeAutospacing="1" w:after="100"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FD291A"/>
    <w:rPr>
      <w:color w:val="808080"/>
    </w:rPr>
  </w:style>
  <w:style w:type="character" w:styleId="FollowedHyperlink">
    <w:name w:val="FollowedHyperlink"/>
    <w:basedOn w:val="DefaultParagraphFont"/>
    <w:uiPriority w:val="99"/>
    <w:semiHidden/>
    <w:unhideWhenUsed/>
    <w:rsid w:val="0004406B"/>
    <w:rPr>
      <w:color w:val="954F72" w:themeColor="followedHyperlink"/>
      <w:u w:val="single"/>
    </w:rPr>
  </w:style>
  <w:style w:type="character" w:styleId="CommentReference">
    <w:name w:val="annotation reference"/>
    <w:basedOn w:val="DefaultParagraphFont"/>
    <w:uiPriority w:val="99"/>
    <w:semiHidden/>
    <w:unhideWhenUsed/>
    <w:rsid w:val="0004406B"/>
    <w:rPr>
      <w:sz w:val="16"/>
      <w:szCs w:val="16"/>
    </w:rPr>
  </w:style>
  <w:style w:type="paragraph" w:styleId="CommentText">
    <w:name w:val="annotation text"/>
    <w:basedOn w:val="Normal"/>
    <w:link w:val="CommentTextChar"/>
    <w:uiPriority w:val="99"/>
    <w:unhideWhenUsed/>
    <w:rsid w:val="0004406B"/>
    <w:pPr>
      <w:spacing w:line="240" w:lineRule="auto"/>
    </w:pPr>
    <w:rPr>
      <w:sz w:val="20"/>
      <w:szCs w:val="20"/>
    </w:rPr>
  </w:style>
  <w:style w:type="character" w:customStyle="1" w:styleId="CommentTextChar">
    <w:name w:val="Comment Text Char"/>
    <w:basedOn w:val="DefaultParagraphFont"/>
    <w:link w:val="CommentText"/>
    <w:uiPriority w:val="99"/>
    <w:rsid w:val="0004406B"/>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4406B"/>
    <w:rPr>
      <w:b/>
      <w:bCs/>
    </w:rPr>
  </w:style>
  <w:style w:type="character" w:customStyle="1" w:styleId="CommentSubjectChar">
    <w:name w:val="Comment Subject Char"/>
    <w:basedOn w:val="CommentTextChar"/>
    <w:link w:val="CommentSubject"/>
    <w:uiPriority w:val="99"/>
    <w:semiHidden/>
    <w:rsid w:val="0004406B"/>
    <w:rPr>
      <w:rFonts w:ascii="Arial" w:hAnsi="Arial" w:cs="Arial"/>
      <w:b/>
      <w:bCs/>
      <w:sz w:val="20"/>
      <w:szCs w:val="20"/>
      <w:lang w:val="en-AU"/>
    </w:rPr>
  </w:style>
  <w:style w:type="paragraph" w:styleId="BalloonText">
    <w:name w:val="Balloon Text"/>
    <w:basedOn w:val="Normal"/>
    <w:link w:val="BalloonTextChar"/>
    <w:uiPriority w:val="99"/>
    <w:semiHidden/>
    <w:unhideWhenUsed/>
    <w:rsid w:val="000950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0EF"/>
    <w:rPr>
      <w:rFonts w:ascii="Segoe UI" w:hAnsi="Segoe UI" w:cs="Segoe UI"/>
      <w:sz w:val="18"/>
      <w:szCs w:val="18"/>
      <w:lang w:val="en-AU"/>
    </w:rPr>
  </w:style>
  <w:style w:type="character" w:styleId="Mention">
    <w:name w:val="Mention"/>
    <w:basedOn w:val="DefaultParagraphFont"/>
    <w:uiPriority w:val="99"/>
    <w:unhideWhenUsed/>
    <w:rsid w:val="00106234"/>
    <w:rPr>
      <w:color w:val="2B579A"/>
      <w:shd w:val="clear" w:color="auto" w:fill="E1DFDD"/>
    </w:rPr>
  </w:style>
  <w:style w:type="character" w:styleId="FootnoteReference">
    <w:name w:val="footnote reference"/>
    <w:basedOn w:val="DefaultParagraphFont"/>
    <w:uiPriority w:val="99"/>
    <w:semiHidden/>
    <w:unhideWhenUsed/>
    <w:rsid w:val="0004406B"/>
    <w:rPr>
      <w:vertAlign w:val="superscript"/>
    </w:rPr>
  </w:style>
  <w:style w:type="paragraph" w:styleId="FootnoteText">
    <w:name w:val="footnote text"/>
    <w:basedOn w:val="Normal"/>
    <w:link w:val="FootnoteTextChar"/>
    <w:uiPriority w:val="99"/>
    <w:semiHidden/>
    <w:unhideWhenUsed/>
    <w:rsid w:val="0004406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4406B"/>
    <w:rPr>
      <w:rFonts w:ascii="Arial" w:hAnsi="Arial" w:cs="Arial"/>
      <w:sz w:val="20"/>
      <w:szCs w:val="20"/>
      <w:lang w:val="en-AU"/>
    </w:rPr>
  </w:style>
  <w:style w:type="paragraph" w:customStyle="1" w:styleId="Documentname">
    <w:name w:val="ŠDocument name"/>
    <w:basedOn w:val="Header"/>
    <w:qFormat/>
    <w:rsid w:val="0004406B"/>
    <w:pPr>
      <w:spacing w:before="0"/>
    </w:pPr>
    <w:rPr>
      <w:b w:val="0"/>
      <w:color w:val="auto"/>
      <w:sz w:val="18"/>
    </w:rPr>
  </w:style>
  <w:style w:type="paragraph" w:customStyle="1" w:styleId="Featurebox2Bullets">
    <w:name w:val="ŠFeature box 2: Bullets"/>
    <w:basedOn w:val="ListBullet"/>
    <w:link w:val="Featurebox2BulletsChar"/>
    <w:uiPriority w:val="14"/>
    <w:qFormat/>
    <w:rsid w:val="0004406B"/>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4406B"/>
    <w:rPr>
      <w:rFonts w:ascii="Arial" w:hAnsi="Arial" w:cs="Arial"/>
      <w:shd w:val="clear" w:color="auto" w:fill="CCEDFC"/>
      <w:lang w:val="en-AU"/>
    </w:rPr>
  </w:style>
  <w:style w:type="paragraph" w:customStyle="1" w:styleId="FeatureBoxPink">
    <w:name w:val="ŠFeature Box Pink"/>
    <w:basedOn w:val="Normal"/>
    <w:next w:val="Normal"/>
    <w:uiPriority w:val="13"/>
    <w:qFormat/>
    <w:rsid w:val="0004406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04406B"/>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04406B"/>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04406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4406B"/>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4406B"/>
    <w:rPr>
      <w:i/>
      <w:iCs/>
      <w:color w:val="404040" w:themeColor="text1" w:themeTint="BF"/>
    </w:rPr>
  </w:style>
  <w:style w:type="paragraph" w:styleId="TOCHeading">
    <w:name w:val="TOC Heading"/>
    <w:aliases w:val="ŠTOC Heading"/>
    <w:basedOn w:val="Heading1"/>
    <w:next w:val="Normal"/>
    <w:uiPriority w:val="2"/>
    <w:unhideWhenUsed/>
    <w:qFormat/>
    <w:rsid w:val="0004406B"/>
    <w:pPr>
      <w:outlineLvl w:val="9"/>
    </w:pPr>
    <w:rPr>
      <w:sz w:val="40"/>
      <w:szCs w:val="40"/>
    </w:rPr>
  </w:style>
  <w:style w:type="character" w:customStyle="1" w:styleId="ui-provider">
    <w:name w:val="ui-provider"/>
    <w:basedOn w:val="DefaultParagraphFont"/>
    <w:rsid w:val="00DF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2046">
      <w:bodyDiv w:val="1"/>
      <w:marLeft w:val="0"/>
      <w:marRight w:val="0"/>
      <w:marTop w:val="0"/>
      <w:marBottom w:val="0"/>
      <w:divBdr>
        <w:top w:val="none" w:sz="0" w:space="0" w:color="auto"/>
        <w:left w:val="none" w:sz="0" w:space="0" w:color="auto"/>
        <w:bottom w:val="none" w:sz="0" w:space="0" w:color="auto"/>
        <w:right w:val="none" w:sz="0" w:space="0" w:color="auto"/>
      </w:divBdr>
    </w:div>
    <w:div w:id="480000075">
      <w:bodyDiv w:val="1"/>
      <w:marLeft w:val="0"/>
      <w:marRight w:val="0"/>
      <w:marTop w:val="0"/>
      <w:marBottom w:val="0"/>
      <w:divBdr>
        <w:top w:val="none" w:sz="0" w:space="0" w:color="auto"/>
        <w:left w:val="none" w:sz="0" w:space="0" w:color="auto"/>
        <w:bottom w:val="none" w:sz="0" w:space="0" w:color="auto"/>
        <w:right w:val="none" w:sz="0" w:space="0" w:color="auto"/>
      </w:divBdr>
    </w:div>
    <w:div w:id="753673995">
      <w:bodyDiv w:val="1"/>
      <w:marLeft w:val="0"/>
      <w:marRight w:val="0"/>
      <w:marTop w:val="0"/>
      <w:marBottom w:val="0"/>
      <w:divBdr>
        <w:top w:val="none" w:sz="0" w:space="0" w:color="auto"/>
        <w:left w:val="none" w:sz="0" w:space="0" w:color="auto"/>
        <w:bottom w:val="none" w:sz="0" w:space="0" w:color="auto"/>
        <w:right w:val="none" w:sz="0" w:space="0" w:color="auto"/>
      </w:divBdr>
    </w:div>
    <w:div w:id="897133165">
      <w:bodyDiv w:val="1"/>
      <w:marLeft w:val="0"/>
      <w:marRight w:val="0"/>
      <w:marTop w:val="0"/>
      <w:marBottom w:val="0"/>
      <w:divBdr>
        <w:top w:val="none" w:sz="0" w:space="0" w:color="auto"/>
        <w:left w:val="none" w:sz="0" w:space="0" w:color="auto"/>
        <w:bottom w:val="none" w:sz="0" w:space="0" w:color="auto"/>
        <w:right w:val="none" w:sz="0" w:space="0" w:color="auto"/>
      </w:divBdr>
    </w:div>
    <w:div w:id="1042555868">
      <w:bodyDiv w:val="1"/>
      <w:marLeft w:val="0"/>
      <w:marRight w:val="0"/>
      <w:marTop w:val="0"/>
      <w:marBottom w:val="0"/>
      <w:divBdr>
        <w:top w:val="none" w:sz="0" w:space="0" w:color="auto"/>
        <w:left w:val="none" w:sz="0" w:space="0" w:color="auto"/>
        <w:bottom w:val="none" w:sz="0" w:space="0" w:color="auto"/>
        <w:right w:val="none" w:sz="0" w:space="0" w:color="auto"/>
      </w:divBdr>
    </w:div>
    <w:div w:id="166566854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3526451">
      <w:bodyDiv w:val="1"/>
      <w:marLeft w:val="0"/>
      <w:marRight w:val="0"/>
      <w:marTop w:val="0"/>
      <w:marBottom w:val="0"/>
      <w:divBdr>
        <w:top w:val="none" w:sz="0" w:space="0" w:color="auto"/>
        <w:left w:val="none" w:sz="0" w:space="0" w:color="auto"/>
        <w:bottom w:val="none" w:sz="0" w:space="0" w:color="auto"/>
        <w:right w:val="none" w:sz="0" w:space="0" w:color="auto"/>
      </w:divBdr>
      <w:divsChild>
        <w:div w:id="28770334">
          <w:marLeft w:val="0"/>
          <w:marRight w:val="0"/>
          <w:marTop w:val="0"/>
          <w:marBottom w:val="0"/>
          <w:divBdr>
            <w:top w:val="none" w:sz="0" w:space="0" w:color="auto"/>
            <w:left w:val="none" w:sz="0" w:space="0" w:color="auto"/>
            <w:bottom w:val="none" w:sz="0" w:space="0" w:color="auto"/>
            <w:right w:val="none" w:sz="0" w:space="0" w:color="auto"/>
          </w:divBdr>
        </w:div>
        <w:div w:id="84809784">
          <w:marLeft w:val="0"/>
          <w:marRight w:val="0"/>
          <w:marTop w:val="0"/>
          <w:marBottom w:val="0"/>
          <w:divBdr>
            <w:top w:val="none" w:sz="0" w:space="0" w:color="auto"/>
            <w:left w:val="none" w:sz="0" w:space="0" w:color="auto"/>
            <w:bottom w:val="none" w:sz="0" w:space="0" w:color="auto"/>
            <w:right w:val="none" w:sz="0" w:space="0" w:color="auto"/>
          </w:divBdr>
        </w:div>
        <w:div w:id="333994673">
          <w:marLeft w:val="0"/>
          <w:marRight w:val="0"/>
          <w:marTop w:val="0"/>
          <w:marBottom w:val="0"/>
          <w:divBdr>
            <w:top w:val="none" w:sz="0" w:space="0" w:color="auto"/>
            <w:left w:val="none" w:sz="0" w:space="0" w:color="auto"/>
            <w:bottom w:val="none" w:sz="0" w:space="0" w:color="auto"/>
            <w:right w:val="none" w:sz="0" w:space="0" w:color="auto"/>
          </w:divBdr>
        </w:div>
        <w:div w:id="368803574">
          <w:marLeft w:val="0"/>
          <w:marRight w:val="0"/>
          <w:marTop w:val="0"/>
          <w:marBottom w:val="0"/>
          <w:divBdr>
            <w:top w:val="none" w:sz="0" w:space="0" w:color="auto"/>
            <w:left w:val="none" w:sz="0" w:space="0" w:color="auto"/>
            <w:bottom w:val="none" w:sz="0" w:space="0" w:color="auto"/>
            <w:right w:val="none" w:sz="0" w:space="0" w:color="auto"/>
          </w:divBdr>
        </w:div>
        <w:div w:id="447357597">
          <w:marLeft w:val="0"/>
          <w:marRight w:val="0"/>
          <w:marTop w:val="0"/>
          <w:marBottom w:val="0"/>
          <w:divBdr>
            <w:top w:val="none" w:sz="0" w:space="0" w:color="auto"/>
            <w:left w:val="none" w:sz="0" w:space="0" w:color="auto"/>
            <w:bottom w:val="none" w:sz="0" w:space="0" w:color="auto"/>
            <w:right w:val="none" w:sz="0" w:space="0" w:color="auto"/>
          </w:divBdr>
        </w:div>
        <w:div w:id="781387989">
          <w:marLeft w:val="0"/>
          <w:marRight w:val="0"/>
          <w:marTop w:val="0"/>
          <w:marBottom w:val="0"/>
          <w:divBdr>
            <w:top w:val="none" w:sz="0" w:space="0" w:color="auto"/>
            <w:left w:val="none" w:sz="0" w:space="0" w:color="auto"/>
            <w:bottom w:val="none" w:sz="0" w:space="0" w:color="auto"/>
            <w:right w:val="none" w:sz="0" w:space="0" w:color="auto"/>
          </w:divBdr>
          <w:divsChild>
            <w:div w:id="134833744">
              <w:marLeft w:val="0"/>
              <w:marRight w:val="0"/>
              <w:marTop w:val="0"/>
              <w:marBottom w:val="0"/>
              <w:divBdr>
                <w:top w:val="none" w:sz="0" w:space="0" w:color="auto"/>
                <w:left w:val="none" w:sz="0" w:space="0" w:color="auto"/>
                <w:bottom w:val="none" w:sz="0" w:space="0" w:color="auto"/>
                <w:right w:val="none" w:sz="0" w:space="0" w:color="auto"/>
              </w:divBdr>
            </w:div>
            <w:div w:id="863400877">
              <w:marLeft w:val="0"/>
              <w:marRight w:val="0"/>
              <w:marTop w:val="0"/>
              <w:marBottom w:val="0"/>
              <w:divBdr>
                <w:top w:val="none" w:sz="0" w:space="0" w:color="auto"/>
                <w:left w:val="none" w:sz="0" w:space="0" w:color="auto"/>
                <w:bottom w:val="none" w:sz="0" w:space="0" w:color="auto"/>
                <w:right w:val="none" w:sz="0" w:space="0" w:color="auto"/>
              </w:divBdr>
            </w:div>
            <w:div w:id="1664432802">
              <w:marLeft w:val="0"/>
              <w:marRight w:val="0"/>
              <w:marTop w:val="0"/>
              <w:marBottom w:val="0"/>
              <w:divBdr>
                <w:top w:val="none" w:sz="0" w:space="0" w:color="auto"/>
                <w:left w:val="none" w:sz="0" w:space="0" w:color="auto"/>
                <w:bottom w:val="none" w:sz="0" w:space="0" w:color="auto"/>
                <w:right w:val="none" w:sz="0" w:space="0" w:color="auto"/>
              </w:divBdr>
            </w:div>
            <w:div w:id="1755737494">
              <w:marLeft w:val="0"/>
              <w:marRight w:val="0"/>
              <w:marTop w:val="0"/>
              <w:marBottom w:val="0"/>
              <w:divBdr>
                <w:top w:val="none" w:sz="0" w:space="0" w:color="auto"/>
                <w:left w:val="none" w:sz="0" w:space="0" w:color="auto"/>
                <w:bottom w:val="none" w:sz="0" w:space="0" w:color="auto"/>
                <w:right w:val="none" w:sz="0" w:space="0" w:color="auto"/>
              </w:divBdr>
            </w:div>
            <w:div w:id="2057269035">
              <w:marLeft w:val="0"/>
              <w:marRight w:val="0"/>
              <w:marTop w:val="0"/>
              <w:marBottom w:val="0"/>
              <w:divBdr>
                <w:top w:val="none" w:sz="0" w:space="0" w:color="auto"/>
                <w:left w:val="none" w:sz="0" w:space="0" w:color="auto"/>
                <w:bottom w:val="none" w:sz="0" w:space="0" w:color="auto"/>
                <w:right w:val="none" w:sz="0" w:space="0" w:color="auto"/>
              </w:divBdr>
            </w:div>
          </w:divsChild>
        </w:div>
        <w:div w:id="970525239">
          <w:marLeft w:val="0"/>
          <w:marRight w:val="0"/>
          <w:marTop w:val="0"/>
          <w:marBottom w:val="0"/>
          <w:divBdr>
            <w:top w:val="none" w:sz="0" w:space="0" w:color="auto"/>
            <w:left w:val="none" w:sz="0" w:space="0" w:color="auto"/>
            <w:bottom w:val="none" w:sz="0" w:space="0" w:color="auto"/>
            <w:right w:val="none" w:sz="0" w:space="0" w:color="auto"/>
          </w:divBdr>
        </w:div>
        <w:div w:id="1309021242">
          <w:marLeft w:val="0"/>
          <w:marRight w:val="0"/>
          <w:marTop w:val="0"/>
          <w:marBottom w:val="0"/>
          <w:divBdr>
            <w:top w:val="none" w:sz="0" w:space="0" w:color="auto"/>
            <w:left w:val="none" w:sz="0" w:space="0" w:color="auto"/>
            <w:bottom w:val="none" w:sz="0" w:space="0" w:color="auto"/>
            <w:right w:val="none" w:sz="0" w:space="0" w:color="auto"/>
          </w:divBdr>
        </w:div>
        <w:div w:id="1325208217">
          <w:marLeft w:val="0"/>
          <w:marRight w:val="0"/>
          <w:marTop w:val="0"/>
          <w:marBottom w:val="0"/>
          <w:divBdr>
            <w:top w:val="none" w:sz="0" w:space="0" w:color="auto"/>
            <w:left w:val="none" w:sz="0" w:space="0" w:color="auto"/>
            <w:bottom w:val="none" w:sz="0" w:space="0" w:color="auto"/>
            <w:right w:val="none" w:sz="0" w:space="0" w:color="auto"/>
          </w:divBdr>
        </w:div>
        <w:div w:id="1498694450">
          <w:marLeft w:val="0"/>
          <w:marRight w:val="0"/>
          <w:marTop w:val="0"/>
          <w:marBottom w:val="0"/>
          <w:divBdr>
            <w:top w:val="none" w:sz="0" w:space="0" w:color="auto"/>
            <w:left w:val="none" w:sz="0" w:space="0" w:color="auto"/>
            <w:bottom w:val="none" w:sz="0" w:space="0" w:color="auto"/>
            <w:right w:val="none" w:sz="0" w:space="0" w:color="auto"/>
          </w:divBdr>
          <w:divsChild>
            <w:div w:id="1247962125">
              <w:marLeft w:val="0"/>
              <w:marRight w:val="0"/>
              <w:marTop w:val="0"/>
              <w:marBottom w:val="0"/>
              <w:divBdr>
                <w:top w:val="none" w:sz="0" w:space="0" w:color="auto"/>
                <w:left w:val="none" w:sz="0" w:space="0" w:color="auto"/>
                <w:bottom w:val="none" w:sz="0" w:space="0" w:color="auto"/>
                <w:right w:val="none" w:sz="0" w:space="0" w:color="auto"/>
              </w:divBdr>
            </w:div>
            <w:div w:id="1446002291">
              <w:marLeft w:val="0"/>
              <w:marRight w:val="0"/>
              <w:marTop w:val="0"/>
              <w:marBottom w:val="0"/>
              <w:divBdr>
                <w:top w:val="none" w:sz="0" w:space="0" w:color="auto"/>
                <w:left w:val="none" w:sz="0" w:space="0" w:color="auto"/>
                <w:bottom w:val="none" w:sz="0" w:space="0" w:color="auto"/>
                <w:right w:val="none" w:sz="0" w:space="0" w:color="auto"/>
              </w:divBdr>
            </w:div>
          </w:divsChild>
        </w:div>
        <w:div w:id="1504658784">
          <w:marLeft w:val="0"/>
          <w:marRight w:val="0"/>
          <w:marTop w:val="0"/>
          <w:marBottom w:val="0"/>
          <w:divBdr>
            <w:top w:val="none" w:sz="0" w:space="0" w:color="auto"/>
            <w:left w:val="none" w:sz="0" w:space="0" w:color="auto"/>
            <w:bottom w:val="none" w:sz="0" w:space="0" w:color="auto"/>
            <w:right w:val="none" w:sz="0" w:space="0" w:color="auto"/>
          </w:divBdr>
        </w:div>
        <w:div w:id="1586573706">
          <w:marLeft w:val="0"/>
          <w:marRight w:val="0"/>
          <w:marTop w:val="0"/>
          <w:marBottom w:val="0"/>
          <w:divBdr>
            <w:top w:val="none" w:sz="0" w:space="0" w:color="auto"/>
            <w:left w:val="none" w:sz="0" w:space="0" w:color="auto"/>
            <w:bottom w:val="none" w:sz="0" w:space="0" w:color="auto"/>
            <w:right w:val="none" w:sz="0" w:space="0" w:color="auto"/>
          </w:divBdr>
        </w:div>
        <w:div w:id="1692608794">
          <w:marLeft w:val="0"/>
          <w:marRight w:val="0"/>
          <w:marTop w:val="0"/>
          <w:marBottom w:val="0"/>
          <w:divBdr>
            <w:top w:val="none" w:sz="0" w:space="0" w:color="auto"/>
            <w:left w:val="none" w:sz="0" w:space="0" w:color="auto"/>
            <w:bottom w:val="none" w:sz="0" w:space="0" w:color="auto"/>
            <w:right w:val="none" w:sz="0" w:space="0" w:color="auto"/>
          </w:divBdr>
        </w:div>
        <w:div w:id="1817603974">
          <w:marLeft w:val="0"/>
          <w:marRight w:val="0"/>
          <w:marTop w:val="0"/>
          <w:marBottom w:val="0"/>
          <w:divBdr>
            <w:top w:val="none" w:sz="0" w:space="0" w:color="auto"/>
            <w:left w:val="none" w:sz="0" w:space="0" w:color="auto"/>
            <w:bottom w:val="none" w:sz="0" w:space="0" w:color="auto"/>
            <w:right w:val="none" w:sz="0" w:space="0" w:color="auto"/>
          </w:divBdr>
        </w:div>
        <w:div w:id="192787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smos.com/?lang=en" TargetMode="External"/><Relationship Id="rId18" Type="http://schemas.openxmlformats.org/officeDocument/2006/relationships/image" Target="media/image3.png"/><Relationship Id="rId26" Type="http://schemas.openxmlformats.org/officeDocument/2006/relationships/hyperlink" Target="https://bit.ly/desmostrigonometricratios" TargetMode="External"/><Relationship Id="rId39" Type="http://schemas.openxmlformats.org/officeDocument/2006/relationships/header" Target="header2.xml"/><Relationship Id="rId21" Type="http://schemas.openxmlformats.org/officeDocument/2006/relationships/hyperlink" Target="https://www.desmos.com/terms?lang=en" TargetMode="External"/><Relationship Id="rId34" Type="http://schemas.openxmlformats.org/officeDocument/2006/relationships/image" Target="media/image7.png"/><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hyperlink" Target="https://curriculum.nsw.edu.au/learning-areas/mathematics/mathematics-k-10-2022" TargetMode="External"/><Relationship Id="rId2" Type="http://schemas.openxmlformats.org/officeDocument/2006/relationships/styles" Target="styles.xml"/><Relationship Id="rId16" Type="http://schemas.openxmlformats.org/officeDocument/2006/relationships/hyperlink" Target="https://www.desmos.com/?lang=en" TargetMode="External"/><Relationship Id="rId29" Type="http://schemas.openxmlformats.org/officeDocument/2006/relationships/hyperlink" Target="https://bit.ly/noticewonderstrategy" TargetMode="External"/><Relationship Id="rId11" Type="http://schemas.openxmlformats.org/officeDocument/2006/relationships/hyperlink" Target="https://bit.ly/Desmos-ratiosofsides" TargetMode="External"/><Relationship Id="rId24" Type="http://schemas.openxmlformats.org/officeDocument/2006/relationships/hyperlink" Target="https://bit.ly/thinkpairsharestrategy" TargetMode="External"/><Relationship Id="rId32" Type="http://schemas.openxmlformats.org/officeDocument/2006/relationships/hyperlink" Target="https://bit.ly/Desmosratioofsides" TargetMode="External"/><Relationship Id="rId37" Type="http://schemas.openxmlformats.org/officeDocument/2006/relationships/image" Target="media/image10.png"/><Relationship Id="rId40" Type="http://schemas.openxmlformats.org/officeDocument/2006/relationships/footer" Target="footer1.xml"/><Relationship Id="rId45"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bit.ly/thinkpairsharestrategy" TargetMode="External"/><Relationship Id="rId28" Type="http://schemas.openxmlformats.org/officeDocument/2006/relationships/image" Target="media/image6.png"/><Relationship Id="rId36" Type="http://schemas.openxmlformats.org/officeDocument/2006/relationships/image" Target="media/image9.png"/><Relationship Id="rId49" Type="http://schemas.openxmlformats.org/officeDocument/2006/relationships/footer" Target="footer6.xml"/><Relationship Id="rId10" Type="http://schemas.openxmlformats.org/officeDocument/2006/relationships/hyperlink" Target="https://bit.ly/Desmos-ratiosofsides" TargetMode="External"/><Relationship Id="rId19" Type="http://schemas.openxmlformats.org/officeDocument/2006/relationships/image" Target="media/image4.png"/><Relationship Id="rId31" Type="http://schemas.openxmlformats.org/officeDocument/2006/relationships/hyperlink" Target="https://bit.ly/thinkpairsharestrategy" TargetMode="External"/><Relationship Id="rId44"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bit.ly/desmossidesoftriangles" TargetMode="External"/><Relationship Id="rId14" Type="http://schemas.openxmlformats.org/officeDocument/2006/relationships/hyperlink" Target="https://www.desmos.com/terms?lang=en" TargetMode="External"/><Relationship Id="rId22" Type="http://schemas.openxmlformats.org/officeDocument/2006/relationships/image" Target="media/image5.png"/><Relationship Id="rId27" Type="http://schemas.openxmlformats.org/officeDocument/2006/relationships/hyperlink" Target="https://bit.ly/VNPSstrategy" TargetMode="External"/><Relationship Id="rId30" Type="http://schemas.openxmlformats.org/officeDocument/2006/relationships/hyperlink" Target="https://crystalclearmaths.com/videos-learning-resources/measurement/trigonometry/the-right-angled-triangle/how-to-remember-sohcahtoa/" TargetMode="External"/><Relationship Id="rId35" Type="http://schemas.openxmlformats.org/officeDocument/2006/relationships/image" Target="media/image8.png"/><Relationship Id="rId43" Type="http://schemas.openxmlformats.org/officeDocument/2006/relationships/footer" Target="footer3.xml"/><Relationship Id="rId48" Type="http://schemas.openxmlformats.org/officeDocument/2006/relationships/header" Target="header4.xml"/><Relationship Id="rId8" Type="http://schemas.openxmlformats.org/officeDocument/2006/relationships/hyperlink" Target="https://bit.ly/desmossidesoftriangles"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desmos.com/terms?lang=en" TargetMode="External"/><Relationship Id="rId25" Type="http://schemas.openxmlformats.org/officeDocument/2006/relationships/hyperlink" Target="https://bit.ly/desmostrigonometricratios" TargetMode="External"/><Relationship Id="rId33" Type="http://schemas.openxmlformats.org/officeDocument/2006/relationships/hyperlink" Target="https://bit.ly/Desmosratioofsides" TargetMode="External"/><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hyperlink" Target="https://www.desmos.com/?lang=en"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U2 – L4 – sine and cosine ratios</dc:title>
  <dc:subject/>
  <dc:creator>NSW Department of Education</dc:creator>
  <cp:keywords/>
  <dc:description/>
  <dcterms:created xsi:type="dcterms:W3CDTF">2023-04-05T04:06:00Z</dcterms:created>
  <dcterms:modified xsi:type="dcterms:W3CDTF">2023-04-05T04:07:00Z</dcterms:modified>
  <cp:category/>
</cp:coreProperties>
</file>