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92A0A" w14:textId="0D07E690" w:rsidR="00B53FCE" w:rsidRDefault="00437D84" w:rsidP="00684CDB">
      <w:pPr>
        <w:pStyle w:val="Title"/>
      </w:pPr>
      <w:r>
        <w:t>Mathematics</w:t>
      </w:r>
      <w:r w:rsidR="007C6D55" w:rsidRPr="00962DCD">
        <w:t xml:space="preserve"> </w:t>
      </w:r>
      <w:r w:rsidR="00D11689">
        <w:t>Extension 2</w:t>
      </w:r>
      <w:r w:rsidR="008706C2">
        <w:t xml:space="preserve"> </w:t>
      </w:r>
      <w:r w:rsidR="00962DCD">
        <w:t>S</w:t>
      </w:r>
      <w:r w:rsidR="00962DCD" w:rsidRPr="00962DCD">
        <w:t>tage</w:t>
      </w:r>
      <w:r w:rsidR="007C6D55">
        <w:t xml:space="preserve"> </w:t>
      </w:r>
      <w:r>
        <w:t>6</w:t>
      </w:r>
    </w:p>
    <w:p w14:paraId="496A3C5D" w14:textId="12BEC716" w:rsidR="00BC2871" w:rsidRPr="00E1389A" w:rsidRDefault="00BB0A8B" w:rsidP="00BB0A8B">
      <w:pPr>
        <w:pStyle w:val="Subtitle0"/>
      </w:pPr>
      <w:r>
        <w:t>Sample scope and sequence</w:t>
      </w:r>
      <w:r w:rsidR="00BC2871">
        <w:br w:type="page"/>
      </w:r>
    </w:p>
    <w:sdt>
      <w:sdtPr>
        <w:rPr>
          <w:rFonts w:eastAsiaTheme="minorEastAsia"/>
          <w:b/>
          <w:bCs w:val="0"/>
          <w:color w:val="auto"/>
          <w:sz w:val="24"/>
          <w:szCs w:val="24"/>
        </w:rPr>
        <w:id w:val="-666639042"/>
        <w:docPartObj>
          <w:docPartGallery w:val="Table of Contents"/>
          <w:docPartUnique/>
        </w:docPartObj>
      </w:sdtPr>
      <w:sdtEndPr>
        <w:rPr>
          <w:b w:val="0"/>
          <w:sz w:val="22"/>
          <w:szCs w:val="22"/>
        </w:rPr>
      </w:sdtEndPr>
      <w:sdtContent>
        <w:p w14:paraId="7F2489F9" w14:textId="431DDFDE" w:rsidR="00953037" w:rsidRDefault="00953037" w:rsidP="00603A3A">
          <w:pPr>
            <w:pStyle w:val="TOCHeading"/>
          </w:pPr>
          <w:r>
            <w:t>Contents</w:t>
          </w:r>
        </w:p>
        <w:p w14:paraId="37C1C9E3" w14:textId="7BC22BED" w:rsidR="003A3234"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841046" w:history="1">
            <w:r w:rsidR="003A3234" w:rsidRPr="007B16A6">
              <w:rPr>
                <w:rStyle w:val="Hyperlink"/>
              </w:rPr>
              <w:t>Purpose of resource</w:t>
            </w:r>
            <w:r w:rsidR="003A3234">
              <w:rPr>
                <w:webHidden/>
              </w:rPr>
              <w:tab/>
            </w:r>
            <w:r w:rsidR="003A3234">
              <w:rPr>
                <w:webHidden/>
              </w:rPr>
              <w:fldChar w:fldCharType="begin"/>
            </w:r>
            <w:r w:rsidR="003A3234">
              <w:rPr>
                <w:webHidden/>
              </w:rPr>
              <w:instrText xml:space="preserve"> PAGEREF _Toc192841046 \h </w:instrText>
            </w:r>
            <w:r w:rsidR="003A3234">
              <w:rPr>
                <w:webHidden/>
              </w:rPr>
            </w:r>
            <w:r w:rsidR="003A3234">
              <w:rPr>
                <w:webHidden/>
              </w:rPr>
              <w:fldChar w:fldCharType="separate"/>
            </w:r>
            <w:r w:rsidR="003A3234">
              <w:rPr>
                <w:webHidden/>
              </w:rPr>
              <w:t>2</w:t>
            </w:r>
            <w:r w:rsidR="003A3234">
              <w:rPr>
                <w:webHidden/>
              </w:rPr>
              <w:fldChar w:fldCharType="end"/>
            </w:r>
          </w:hyperlink>
        </w:p>
        <w:p w14:paraId="206AE840" w14:textId="384DF62D" w:rsidR="003A3234" w:rsidRDefault="003A3234">
          <w:pPr>
            <w:pStyle w:val="TOC1"/>
            <w:rPr>
              <w:rFonts w:asciiTheme="minorHAnsi" w:eastAsiaTheme="minorEastAsia" w:hAnsiTheme="minorHAnsi" w:cstheme="minorBidi"/>
              <w:b w:val="0"/>
              <w:kern w:val="2"/>
              <w:sz w:val="24"/>
              <w:lang w:eastAsia="en-AU"/>
              <w14:ligatures w14:val="standardContextual"/>
            </w:rPr>
          </w:pPr>
          <w:hyperlink w:anchor="_Toc192841047" w:history="1">
            <w:r w:rsidRPr="007B16A6">
              <w:rPr>
                <w:rStyle w:val="Hyperlink"/>
              </w:rPr>
              <w:t>Mathematics Extension 2 Year 12 scope and sequence</w:t>
            </w:r>
            <w:r>
              <w:rPr>
                <w:webHidden/>
              </w:rPr>
              <w:tab/>
            </w:r>
            <w:r>
              <w:rPr>
                <w:webHidden/>
              </w:rPr>
              <w:fldChar w:fldCharType="begin"/>
            </w:r>
            <w:r>
              <w:rPr>
                <w:webHidden/>
              </w:rPr>
              <w:instrText xml:space="preserve"> PAGEREF _Toc192841047 \h </w:instrText>
            </w:r>
            <w:r>
              <w:rPr>
                <w:webHidden/>
              </w:rPr>
            </w:r>
            <w:r>
              <w:rPr>
                <w:webHidden/>
              </w:rPr>
              <w:fldChar w:fldCharType="separate"/>
            </w:r>
            <w:r>
              <w:rPr>
                <w:webHidden/>
              </w:rPr>
              <w:t>3</w:t>
            </w:r>
            <w:r>
              <w:rPr>
                <w:webHidden/>
              </w:rPr>
              <w:fldChar w:fldCharType="end"/>
            </w:r>
          </w:hyperlink>
        </w:p>
        <w:p w14:paraId="405CB079" w14:textId="0FCD8062" w:rsidR="003A3234" w:rsidRDefault="003A3234">
          <w:pPr>
            <w:pStyle w:val="TOC2"/>
            <w:rPr>
              <w:rFonts w:asciiTheme="minorHAnsi" w:eastAsiaTheme="minorEastAsia" w:hAnsiTheme="minorHAnsi" w:cstheme="minorBidi"/>
              <w:kern w:val="2"/>
              <w:sz w:val="24"/>
              <w:lang w:eastAsia="en-AU"/>
              <w14:ligatures w14:val="standardContextual"/>
            </w:rPr>
          </w:pPr>
          <w:hyperlink w:anchor="_Toc192841048" w:history="1">
            <w:r w:rsidRPr="007B16A6">
              <w:rPr>
                <w:rStyle w:val="Hyperlink"/>
              </w:rPr>
              <w:t>Mathematics Extension 2 Year 12 scope and sequence overview</w:t>
            </w:r>
            <w:r>
              <w:rPr>
                <w:webHidden/>
              </w:rPr>
              <w:tab/>
            </w:r>
            <w:r>
              <w:rPr>
                <w:webHidden/>
              </w:rPr>
              <w:fldChar w:fldCharType="begin"/>
            </w:r>
            <w:r>
              <w:rPr>
                <w:webHidden/>
              </w:rPr>
              <w:instrText xml:space="preserve"> PAGEREF _Toc192841048 \h </w:instrText>
            </w:r>
            <w:r>
              <w:rPr>
                <w:webHidden/>
              </w:rPr>
            </w:r>
            <w:r>
              <w:rPr>
                <w:webHidden/>
              </w:rPr>
              <w:fldChar w:fldCharType="separate"/>
            </w:r>
            <w:r>
              <w:rPr>
                <w:webHidden/>
              </w:rPr>
              <w:t>7</w:t>
            </w:r>
            <w:r>
              <w:rPr>
                <w:webHidden/>
              </w:rPr>
              <w:fldChar w:fldCharType="end"/>
            </w:r>
          </w:hyperlink>
        </w:p>
        <w:p w14:paraId="3EEAE7E6" w14:textId="737ECD98" w:rsidR="003A3234" w:rsidRDefault="003A3234">
          <w:pPr>
            <w:pStyle w:val="TOC1"/>
            <w:rPr>
              <w:rFonts w:asciiTheme="minorHAnsi" w:eastAsiaTheme="minorEastAsia" w:hAnsiTheme="minorHAnsi" w:cstheme="minorBidi"/>
              <w:b w:val="0"/>
              <w:kern w:val="2"/>
              <w:sz w:val="24"/>
              <w:lang w:eastAsia="en-AU"/>
              <w14:ligatures w14:val="standardContextual"/>
            </w:rPr>
          </w:pPr>
          <w:hyperlink w:anchor="_Toc192841049" w:history="1">
            <w:r w:rsidRPr="007B16A6">
              <w:rPr>
                <w:rStyle w:val="Hyperlink"/>
              </w:rPr>
              <w:t>Support and alignment</w:t>
            </w:r>
            <w:r>
              <w:rPr>
                <w:webHidden/>
              </w:rPr>
              <w:tab/>
            </w:r>
            <w:r>
              <w:rPr>
                <w:webHidden/>
              </w:rPr>
              <w:fldChar w:fldCharType="begin"/>
            </w:r>
            <w:r>
              <w:rPr>
                <w:webHidden/>
              </w:rPr>
              <w:instrText xml:space="preserve"> PAGEREF _Toc192841049 \h </w:instrText>
            </w:r>
            <w:r>
              <w:rPr>
                <w:webHidden/>
              </w:rPr>
            </w:r>
            <w:r>
              <w:rPr>
                <w:webHidden/>
              </w:rPr>
              <w:fldChar w:fldCharType="separate"/>
            </w:r>
            <w:r>
              <w:rPr>
                <w:webHidden/>
              </w:rPr>
              <w:t>8</w:t>
            </w:r>
            <w:r>
              <w:rPr>
                <w:webHidden/>
              </w:rPr>
              <w:fldChar w:fldCharType="end"/>
            </w:r>
          </w:hyperlink>
        </w:p>
        <w:p w14:paraId="54CF4981" w14:textId="264ED290" w:rsidR="003A3234" w:rsidRDefault="003A3234">
          <w:pPr>
            <w:pStyle w:val="TOC1"/>
            <w:rPr>
              <w:rFonts w:asciiTheme="minorHAnsi" w:eastAsiaTheme="minorEastAsia" w:hAnsiTheme="minorHAnsi" w:cstheme="minorBidi"/>
              <w:b w:val="0"/>
              <w:kern w:val="2"/>
              <w:sz w:val="24"/>
              <w:lang w:eastAsia="en-AU"/>
              <w14:ligatures w14:val="standardContextual"/>
            </w:rPr>
          </w:pPr>
          <w:hyperlink w:anchor="_Toc192841050" w:history="1">
            <w:r w:rsidRPr="007B16A6">
              <w:rPr>
                <w:rStyle w:val="Hyperlink"/>
              </w:rPr>
              <w:t>Evidence base</w:t>
            </w:r>
            <w:r>
              <w:rPr>
                <w:webHidden/>
              </w:rPr>
              <w:tab/>
            </w:r>
            <w:r>
              <w:rPr>
                <w:webHidden/>
              </w:rPr>
              <w:fldChar w:fldCharType="begin"/>
            </w:r>
            <w:r>
              <w:rPr>
                <w:webHidden/>
              </w:rPr>
              <w:instrText xml:space="preserve"> PAGEREF _Toc192841050 \h </w:instrText>
            </w:r>
            <w:r>
              <w:rPr>
                <w:webHidden/>
              </w:rPr>
            </w:r>
            <w:r>
              <w:rPr>
                <w:webHidden/>
              </w:rPr>
              <w:fldChar w:fldCharType="separate"/>
            </w:r>
            <w:r>
              <w:rPr>
                <w:webHidden/>
              </w:rPr>
              <w:t>9</w:t>
            </w:r>
            <w:r>
              <w:rPr>
                <w:webHidden/>
              </w:rPr>
              <w:fldChar w:fldCharType="end"/>
            </w:r>
          </w:hyperlink>
        </w:p>
        <w:p w14:paraId="52C102C9" w14:textId="2F43C9BC" w:rsidR="00953037" w:rsidRDefault="00603A3A" w:rsidP="00247C1F">
          <w:pPr>
            <w:rPr>
              <w:b/>
              <w:bCs/>
              <w:noProof/>
            </w:rPr>
          </w:pPr>
          <w:r>
            <w:rPr>
              <w:b/>
              <w:noProof/>
            </w:rPr>
            <w:fldChar w:fldCharType="end"/>
          </w:r>
        </w:p>
      </w:sdtContent>
    </w:sdt>
    <w:p w14:paraId="22F9496E" w14:textId="4251AF5B" w:rsidR="00953037" w:rsidRDefault="00953037" w:rsidP="00247C1F">
      <w:r>
        <w:br w:type="page"/>
      </w:r>
    </w:p>
    <w:p w14:paraId="692D7DB6" w14:textId="77777777" w:rsidR="009F36CD" w:rsidRDefault="009F36CD" w:rsidP="00437D84">
      <w:pPr>
        <w:pStyle w:val="Heading1"/>
      </w:pPr>
      <w:bookmarkStart w:id="0" w:name="_Toc192841046"/>
      <w:bookmarkStart w:id="1" w:name="_Hlk148102359"/>
      <w:bookmarkStart w:id="2" w:name="_Toc147483512"/>
      <w:r w:rsidRPr="009F36CD">
        <w:lastRenderedPageBreak/>
        <w:t>Purpose of resource</w:t>
      </w:r>
      <w:bookmarkEnd w:id="0"/>
    </w:p>
    <w:p w14:paraId="7AF6D365" w14:textId="77777777" w:rsidR="00B17C04" w:rsidRDefault="56BE9054" w:rsidP="1F541015">
      <w:r w:rsidRPr="1F541015">
        <w:t>This resource has been designed to support teachers by providing an approach to organising syllabus content and can be modified to suit individual school contexts and procedures as required.</w:t>
      </w:r>
    </w:p>
    <w:p w14:paraId="3242E08D" w14:textId="2BAF23D2" w:rsidR="00437D84" w:rsidRPr="00D834C2" w:rsidRDefault="56BE9054" w:rsidP="1F541015">
      <w:r w:rsidRPr="1F541015">
        <w:t xml:space="preserve">High quality formative and summative assessment should form an integral part of all teaching and learning programs. For more information, please visit </w:t>
      </w:r>
      <w:hyperlink r:id="rId8">
        <w:r w:rsidRPr="1F541015">
          <w:rPr>
            <w:rStyle w:val="Hyperlink"/>
          </w:rPr>
          <w:t>NESA’s Advice on assessment</w:t>
        </w:r>
      </w:hyperlink>
      <w:r w:rsidRPr="1F541015">
        <w:t xml:space="preserve"> page.</w:t>
      </w:r>
    </w:p>
    <w:bookmarkEnd w:id="1"/>
    <w:p w14:paraId="46BD6A08" w14:textId="7C7D456A" w:rsidR="00340F58" w:rsidRPr="009F36CD" w:rsidRDefault="009F36CD" w:rsidP="009F36CD">
      <w:r w:rsidRPr="009F36CD">
        <w:br w:type="page"/>
      </w:r>
    </w:p>
    <w:p w14:paraId="2BB064FA" w14:textId="376C6186" w:rsidR="00CA70FF" w:rsidRDefault="00CA70FF" w:rsidP="00CA70FF">
      <w:pPr>
        <w:pStyle w:val="Heading1"/>
      </w:pPr>
      <w:bookmarkStart w:id="3" w:name="_Toc192841047"/>
      <w:bookmarkStart w:id="4" w:name="_Toc1022999069"/>
      <w:bookmarkStart w:id="5" w:name="_Toc112409828"/>
      <w:bookmarkStart w:id="6" w:name="_Toc147483516"/>
      <w:bookmarkEnd w:id="2"/>
      <w:r>
        <w:lastRenderedPageBreak/>
        <w:t xml:space="preserve">Mathematics </w:t>
      </w:r>
      <w:r w:rsidR="007F502E">
        <w:t>Extension 2</w:t>
      </w:r>
      <w:r>
        <w:t xml:space="preserve"> Year 12 scope and sequence</w:t>
      </w:r>
      <w:bookmarkEnd w:id="3"/>
    </w:p>
    <w:p w14:paraId="1997518F" w14:textId="4F3BA089" w:rsidR="00CA70FF" w:rsidRDefault="00802334" w:rsidP="00CA70FF">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Mathematics Extension 2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981"/>
        <w:gridCol w:w="5813"/>
        <w:gridCol w:w="6768"/>
      </w:tblGrid>
      <w:tr w:rsidR="00F1211B" w14:paraId="748475C4" w14:textId="77777777" w:rsidTr="00F12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F04EAB5" w14:textId="5CB3C389" w:rsidR="00F1211B" w:rsidRDefault="00F1211B" w:rsidP="00944865">
            <w:r>
              <w:t>Unit</w:t>
            </w:r>
          </w:p>
        </w:tc>
        <w:tc>
          <w:tcPr>
            <w:tcW w:w="1996" w:type="pct"/>
          </w:tcPr>
          <w:p w14:paraId="55531152" w14:textId="2C89A1BF" w:rsidR="00F1211B" w:rsidRDefault="00F1211B" w:rsidP="00944865">
            <w:pPr>
              <w:cnfStyle w:val="100000000000" w:firstRow="1" w:lastRow="0" w:firstColumn="0" w:lastColumn="0" w:oddVBand="0" w:evenVBand="0" w:oddHBand="0" w:evenHBand="0" w:firstRowFirstColumn="0" w:firstRowLastColumn="0" w:lastRowFirstColumn="0" w:lastRowLastColumn="0"/>
              <w:rPr>
                <w:b w:val="0"/>
              </w:rPr>
            </w:pPr>
            <w:r>
              <w:t>Introducing complex numbers</w:t>
            </w:r>
          </w:p>
          <w:p w14:paraId="4435C695" w14:textId="7A92B5DC" w:rsidR="00F1211B" w:rsidRDefault="00F1211B" w:rsidP="00944865">
            <w:pPr>
              <w:cnfStyle w:val="100000000000" w:firstRow="1" w:lastRow="0" w:firstColumn="0" w:lastColumn="0" w:oddVBand="0" w:evenVBand="0" w:oddHBand="0" w:evenHBand="0" w:firstRowFirstColumn="0" w:firstRowLastColumn="0" w:lastRowFirstColumn="0" w:lastRowLastColumn="0"/>
            </w:pPr>
            <w:r>
              <w:t>Weeks 1–6</w:t>
            </w:r>
          </w:p>
        </w:tc>
        <w:tc>
          <w:tcPr>
            <w:tcW w:w="2325" w:type="pct"/>
          </w:tcPr>
          <w:p w14:paraId="459FDA18" w14:textId="370EDF39" w:rsidR="00F1211B" w:rsidRDefault="00F1211B" w:rsidP="00944865">
            <w:pPr>
              <w:cnfStyle w:val="100000000000" w:firstRow="1" w:lastRow="0" w:firstColumn="0" w:lastColumn="0" w:oddVBand="0" w:evenVBand="0" w:oddHBand="0" w:evenHBand="0" w:firstRowFirstColumn="0" w:firstRowLastColumn="0" w:lastRowFirstColumn="0" w:lastRowLastColumn="0"/>
              <w:rPr>
                <w:b w:val="0"/>
              </w:rPr>
            </w:pPr>
            <w:r>
              <w:rPr>
                <w:bCs/>
              </w:rPr>
              <w:t>Vector equations</w:t>
            </w:r>
            <w:r>
              <w:t xml:space="preserve"> of lines and curves</w:t>
            </w:r>
          </w:p>
          <w:p w14:paraId="29759D22" w14:textId="6957B9B9" w:rsidR="00F1211B" w:rsidRDefault="00F1211B" w:rsidP="00944865">
            <w:pPr>
              <w:cnfStyle w:val="100000000000" w:firstRow="1" w:lastRow="0" w:firstColumn="0" w:lastColumn="0" w:oddVBand="0" w:evenVBand="0" w:oddHBand="0" w:evenHBand="0" w:firstRowFirstColumn="0" w:firstRowLastColumn="0" w:lastRowFirstColumn="0" w:lastRowLastColumn="0"/>
            </w:pPr>
            <w:r>
              <w:t>Weeks 7–10</w:t>
            </w:r>
          </w:p>
        </w:tc>
      </w:tr>
      <w:tr w:rsidR="00F1211B" w14:paraId="6B762419" w14:textId="77777777" w:rsidTr="00F12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739CA8AE" w14:textId="2BEF4E3A" w:rsidR="00F1211B" w:rsidRPr="006C595B" w:rsidRDefault="00F1211B" w:rsidP="00E11FA0">
            <w:r>
              <w:t>Outcomes</w:t>
            </w:r>
          </w:p>
        </w:tc>
        <w:tc>
          <w:tcPr>
            <w:tcW w:w="1996" w:type="pct"/>
          </w:tcPr>
          <w:p w14:paraId="18A6DCE3" w14:textId="5A3689A4" w:rsidR="00F1211B" w:rsidRPr="00F1211B" w:rsidRDefault="00F1211B" w:rsidP="00E11FA0">
            <w:pPr>
              <w:cnfStyle w:val="000000100000" w:firstRow="0" w:lastRow="0" w:firstColumn="0" w:lastColumn="0" w:oddVBand="0" w:evenVBand="0" w:oddHBand="1" w:evenHBand="0" w:firstRowFirstColumn="0" w:firstRowLastColumn="0" w:lastRowFirstColumn="0" w:lastRowLastColumn="0"/>
              <w:rPr>
                <w:b/>
                <w:bCs/>
              </w:rPr>
            </w:pPr>
            <w:r w:rsidRPr="00F1211B">
              <w:rPr>
                <w:b/>
                <w:bCs/>
              </w:rPr>
              <w:t>MAO-WM-01, ME2-12-03</w:t>
            </w:r>
          </w:p>
        </w:tc>
        <w:tc>
          <w:tcPr>
            <w:tcW w:w="2325" w:type="pct"/>
          </w:tcPr>
          <w:p w14:paraId="5474AD88" w14:textId="657CD156" w:rsidR="00F1211B" w:rsidRPr="00647DF8" w:rsidRDefault="00F1211B" w:rsidP="00E11FA0">
            <w:pPr>
              <w:cnfStyle w:val="000000100000" w:firstRow="0" w:lastRow="0" w:firstColumn="0" w:lastColumn="0" w:oddVBand="0" w:evenVBand="0" w:oddHBand="1" w:evenHBand="0" w:firstRowFirstColumn="0" w:firstRowLastColumn="0" w:lastRowFirstColumn="0" w:lastRowLastColumn="0"/>
            </w:pPr>
            <w:r w:rsidRPr="006C595B">
              <w:rPr>
                <w:b/>
              </w:rPr>
              <w:t>MA</w:t>
            </w:r>
            <w:r w:rsidR="00B57F2E">
              <w:rPr>
                <w:b/>
              </w:rPr>
              <w:t>O</w:t>
            </w:r>
            <w:r w:rsidRPr="006C595B">
              <w:rPr>
                <w:b/>
              </w:rPr>
              <w:t>-WM-01, ME2-12-02</w:t>
            </w:r>
          </w:p>
        </w:tc>
      </w:tr>
      <w:tr w:rsidR="00F1211B" w14:paraId="7F43276A" w14:textId="77777777" w:rsidTr="00F12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0A0BEFFD" w14:textId="60507D1C" w:rsidR="00F1211B" w:rsidRPr="00337FFA" w:rsidRDefault="00F1211B" w:rsidP="003659B8">
            <w:pPr>
              <w:rPr>
                <w:bCs/>
              </w:rPr>
            </w:pPr>
            <w:r>
              <w:rPr>
                <w:bCs/>
              </w:rPr>
              <w:t>Description</w:t>
            </w:r>
          </w:p>
        </w:tc>
        <w:tc>
          <w:tcPr>
            <w:tcW w:w="1996" w:type="pct"/>
          </w:tcPr>
          <w:p w14:paraId="64405D5A" w14:textId="4D2F157E" w:rsidR="00F1211B" w:rsidRPr="00337FFA" w:rsidRDefault="00F1211B" w:rsidP="003659B8">
            <w:pPr>
              <w:cnfStyle w:val="000000010000" w:firstRow="0" w:lastRow="0" w:firstColumn="0" w:lastColumn="0" w:oddVBand="0" w:evenVBand="0" w:oddHBand="0" w:evenHBand="1" w:firstRowFirstColumn="0" w:firstRowLastColumn="0" w:lastRowFirstColumn="0" w:lastRowLastColumn="0"/>
              <w:rPr>
                <w:b/>
                <w:bCs/>
              </w:rPr>
            </w:pPr>
            <w:r w:rsidRPr="00337FFA">
              <w:rPr>
                <w:bCs/>
              </w:rPr>
              <w:t>This unit explores the arithmetic, algebraic properties and geometric representation of complex numbers. Complex numbers are examined in Cartesian and polar forms, with operations, equations and identities applied to solve problems and prove results</w:t>
            </w:r>
            <w:r>
              <w:rPr>
                <w:bCs/>
              </w:rPr>
              <w:t>.</w:t>
            </w:r>
          </w:p>
        </w:tc>
        <w:tc>
          <w:tcPr>
            <w:tcW w:w="2325" w:type="pct"/>
          </w:tcPr>
          <w:p w14:paraId="144A3E42" w14:textId="41FF52CA" w:rsidR="00F1211B" w:rsidRPr="00981775" w:rsidRDefault="00F1211B" w:rsidP="00E344BA">
            <w:pPr>
              <w:cnfStyle w:val="000000010000" w:firstRow="0" w:lastRow="0" w:firstColumn="0" w:lastColumn="0" w:oddVBand="0" w:evenVBand="0" w:oddHBand="0" w:evenHBand="1" w:firstRowFirstColumn="0" w:firstRowLastColumn="0" w:lastRowFirstColumn="0" w:lastRowLastColumn="0"/>
              <w:rPr>
                <w:bCs/>
              </w:rPr>
            </w:pPr>
            <w:r w:rsidRPr="00981775">
              <w:rPr>
                <w:bCs/>
              </w:rPr>
              <w:t>This unit explores vector equations of lines and curves in two and three dimensions. Vector methods are examined and applied to determine intersections, collinearity, skew lines and the equations of circles and spheres.</w:t>
            </w:r>
          </w:p>
        </w:tc>
      </w:tr>
    </w:tbl>
    <w:p w14:paraId="2E24302B" w14:textId="77777777" w:rsidR="00E11FA0" w:rsidRPr="00B17C04" w:rsidRDefault="00E11FA0" w:rsidP="00B17C04">
      <w:r w:rsidRPr="00B17C04">
        <w:br w:type="page"/>
      </w:r>
    </w:p>
    <w:p w14:paraId="649FE611" w14:textId="41F7CF53" w:rsidR="00CA70FF" w:rsidRDefault="00802334" w:rsidP="00CA70FF">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Mathematics Extension 2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981"/>
        <w:gridCol w:w="5810"/>
        <w:gridCol w:w="6771"/>
      </w:tblGrid>
      <w:tr w:rsidR="00F1211B" w14:paraId="2CF8A072" w14:textId="77777777" w:rsidTr="00B57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E198330" w14:textId="73C2A203" w:rsidR="00F1211B" w:rsidRDefault="00F1211B" w:rsidP="00944865">
            <w:pPr>
              <w:rPr>
                <w:bCs/>
              </w:rPr>
            </w:pPr>
            <w:r>
              <w:rPr>
                <w:bCs/>
              </w:rPr>
              <w:t>Unit</w:t>
            </w:r>
          </w:p>
        </w:tc>
        <w:tc>
          <w:tcPr>
            <w:tcW w:w="1995" w:type="pct"/>
          </w:tcPr>
          <w:p w14:paraId="2CDEA566" w14:textId="50966872" w:rsidR="00F1211B" w:rsidRDefault="00F1211B" w:rsidP="00944865">
            <w:pPr>
              <w:cnfStyle w:val="100000000000" w:firstRow="1" w:lastRow="0" w:firstColumn="0" w:lastColumn="0" w:oddVBand="0" w:evenVBand="0" w:oddHBand="0" w:evenHBand="0" w:firstRowFirstColumn="0" w:firstRowLastColumn="0" w:lastRowFirstColumn="0" w:lastRowLastColumn="0"/>
              <w:rPr>
                <w:b w:val="0"/>
              </w:rPr>
            </w:pPr>
            <w:r>
              <w:rPr>
                <w:bCs/>
              </w:rPr>
              <w:t>The nature of proof</w:t>
            </w:r>
          </w:p>
          <w:p w14:paraId="6610F659" w14:textId="416DB427" w:rsidR="00F1211B" w:rsidRDefault="00F1211B" w:rsidP="00944865">
            <w:pPr>
              <w:cnfStyle w:val="100000000000" w:firstRow="1" w:lastRow="0" w:firstColumn="0" w:lastColumn="0" w:oddVBand="0" w:evenVBand="0" w:oddHBand="0" w:evenHBand="0" w:firstRowFirstColumn="0" w:firstRowLastColumn="0" w:lastRowFirstColumn="0" w:lastRowLastColumn="0"/>
            </w:pPr>
            <w:r>
              <w:t>Weeks 1–6</w:t>
            </w:r>
          </w:p>
        </w:tc>
        <w:tc>
          <w:tcPr>
            <w:tcW w:w="2325" w:type="pct"/>
          </w:tcPr>
          <w:p w14:paraId="12D2ED34" w14:textId="3531B5FB" w:rsidR="00F1211B" w:rsidRDefault="00F1211B" w:rsidP="00944865">
            <w:pPr>
              <w:cnfStyle w:val="100000000000" w:firstRow="1" w:lastRow="0" w:firstColumn="0" w:lastColumn="0" w:oddVBand="0" w:evenVBand="0" w:oddHBand="0" w:evenHBand="0" w:firstRowFirstColumn="0" w:firstRowLastColumn="0" w:lastRowFirstColumn="0" w:lastRowLastColumn="0"/>
              <w:rPr>
                <w:b w:val="0"/>
                <w:bCs/>
              </w:rPr>
            </w:pPr>
            <w:r>
              <w:rPr>
                <w:bCs/>
              </w:rPr>
              <w:t>Further complex numbers</w:t>
            </w:r>
          </w:p>
          <w:p w14:paraId="781A88A2" w14:textId="2E5657A9" w:rsidR="00F1211B" w:rsidRDefault="00F1211B" w:rsidP="00944865">
            <w:pPr>
              <w:cnfStyle w:val="100000000000" w:firstRow="1" w:lastRow="0" w:firstColumn="0" w:lastColumn="0" w:oddVBand="0" w:evenVBand="0" w:oddHBand="0" w:evenHBand="0" w:firstRowFirstColumn="0" w:firstRowLastColumn="0" w:lastRowFirstColumn="0" w:lastRowLastColumn="0"/>
            </w:pPr>
            <w:r>
              <w:t>Weeks 7–10</w:t>
            </w:r>
          </w:p>
        </w:tc>
      </w:tr>
      <w:tr w:rsidR="00F1211B" w14:paraId="1205CE2D" w14:textId="77777777" w:rsidTr="00B57F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083C6AB" w14:textId="6DB3D97F" w:rsidR="00F1211B" w:rsidRPr="006C595B" w:rsidRDefault="00F1211B" w:rsidP="00944865">
            <w:r>
              <w:t>Outcomes</w:t>
            </w:r>
          </w:p>
        </w:tc>
        <w:tc>
          <w:tcPr>
            <w:tcW w:w="1995" w:type="pct"/>
          </w:tcPr>
          <w:p w14:paraId="592FF6FA" w14:textId="13CAA760" w:rsidR="00F1211B" w:rsidRPr="00F1211B" w:rsidRDefault="00F1211B" w:rsidP="00944865">
            <w:pPr>
              <w:cnfStyle w:val="000000100000" w:firstRow="0" w:lastRow="0" w:firstColumn="0" w:lastColumn="0" w:oddVBand="0" w:evenVBand="0" w:oddHBand="1" w:evenHBand="0" w:firstRowFirstColumn="0" w:firstRowLastColumn="0" w:lastRowFirstColumn="0" w:lastRowLastColumn="0"/>
              <w:rPr>
                <w:b/>
                <w:bCs/>
              </w:rPr>
            </w:pPr>
            <w:r w:rsidRPr="00F1211B">
              <w:rPr>
                <w:b/>
                <w:bCs/>
              </w:rPr>
              <w:t>MAO-WM-01, ME2-12-01</w:t>
            </w:r>
          </w:p>
        </w:tc>
        <w:tc>
          <w:tcPr>
            <w:tcW w:w="2325" w:type="pct"/>
          </w:tcPr>
          <w:p w14:paraId="6D347F55" w14:textId="3EABEFDF" w:rsidR="00F1211B" w:rsidRPr="00A81AFD" w:rsidRDefault="00F1211B" w:rsidP="004B4AF8">
            <w:pPr>
              <w:cnfStyle w:val="000000100000" w:firstRow="0" w:lastRow="0" w:firstColumn="0" w:lastColumn="0" w:oddVBand="0" w:evenVBand="0" w:oddHBand="1" w:evenHBand="0" w:firstRowFirstColumn="0" w:firstRowLastColumn="0" w:lastRowFirstColumn="0" w:lastRowLastColumn="0"/>
              <w:rPr>
                <w:b/>
              </w:rPr>
            </w:pPr>
            <w:r w:rsidRPr="006C595B">
              <w:rPr>
                <w:b/>
              </w:rPr>
              <w:t>MAO-WM-01, ME2-12-03</w:t>
            </w:r>
          </w:p>
        </w:tc>
      </w:tr>
      <w:tr w:rsidR="00F1211B" w14:paraId="22C3958B" w14:textId="77777777" w:rsidTr="00B57F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7CB42CC6" w14:textId="0B2FE053" w:rsidR="00F1211B" w:rsidRPr="00A81AFD" w:rsidRDefault="00B57F2E" w:rsidP="003659B8">
            <w:pPr>
              <w:rPr>
                <w:bCs/>
              </w:rPr>
            </w:pPr>
            <w:r>
              <w:rPr>
                <w:bCs/>
              </w:rPr>
              <w:t>Description</w:t>
            </w:r>
          </w:p>
        </w:tc>
        <w:tc>
          <w:tcPr>
            <w:tcW w:w="1995" w:type="pct"/>
          </w:tcPr>
          <w:p w14:paraId="4539F153" w14:textId="0AC073CA" w:rsidR="00F1211B" w:rsidRPr="00A81AFD" w:rsidRDefault="00F1211B" w:rsidP="003659B8">
            <w:pPr>
              <w:cnfStyle w:val="000000010000" w:firstRow="0" w:lastRow="0" w:firstColumn="0" w:lastColumn="0" w:oddVBand="0" w:evenVBand="0" w:oddHBand="0" w:evenHBand="1" w:firstRowFirstColumn="0" w:firstRowLastColumn="0" w:lastRowFirstColumn="0" w:lastRowLastColumn="0"/>
              <w:rPr>
                <w:b/>
                <w:bCs/>
              </w:rPr>
            </w:pPr>
            <w:r w:rsidRPr="00A81AFD">
              <w:rPr>
                <w:bCs/>
              </w:rPr>
              <w:t>This unit explores the language and notation of mathematical proof. Proof techniques such as proof by contradiction, counterexamples, inequalities and mathematical induction are examined and applied to problems involving algebra, geometry and calculus.</w:t>
            </w:r>
          </w:p>
        </w:tc>
        <w:tc>
          <w:tcPr>
            <w:tcW w:w="2325" w:type="pct"/>
          </w:tcPr>
          <w:p w14:paraId="5AEBCA7A" w14:textId="665693E9" w:rsidR="00F1211B" w:rsidRPr="001977E5" w:rsidRDefault="00F1211B" w:rsidP="004B4AF8">
            <w:pPr>
              <w:cnfStyle w:val="000000010000" w:firstRow="0" w:lastRow="0" w:firstColumn="0" w:lastColumn="0" w:oddVBand="0" w:evenVBand="0" w:oddHBand="0" w:evenHBand="1" w:firstRowFirstColumn="0" w:firstRowLastColumn="0" w:lastRowFirstColumn="0" w:lastRowLastColumn="0"/>
              <w:rPr>
                <w:bCs/>
              </w:rPr>
            </w:pPr>
            <w:r w:rsidRPr="001977E5">
              <w:rPr>
                <w:bCs/>
              </w:rPr>
              <w:t>This unit explores powers and roots of complex numbers, including de Moivre’s theorem and its applications in trigonometry and geometry. Complex numbers are examined as vectors, with their operations used to describe transformations, solve equations and graph lines, curves and regions on the complex plane.</w:t>
            </w:r>
          </w:p>
        </w:tc>
      </w:tr>
    </w:tbl>
    <w:p w14:paraId="5A2026D9" w14:textId="77777777" w:rsidR="00E11FA0" w:rsidRPr="00802334" w:rsidRDefault="00E11FA0" w:rsidP="00802334">
      <w:r w:rsidRPr="00802334">
        <w:br w:type="page"/>
      </w:r>
    </w:p>
    <w:p w14:paraId="3495D256" w14:textId="3E5316F0" w:rsidR="00CA70FF" w:rsidRDefault="00802334" w:rsidP="00CA70FF">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Mathematics Extension 2 Term 2 scope and sequence</w:t>
      </w:r>
    </w:p>
    <w:tbl>
      <w:tblPr>
        <w:tblStyle w:val="Tableheader"/>
        <w:tblW w:w="14562"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980"/>
        <w:gridCol w:w="4194"/>
        <w:gridCol w:w="4194"/>
        <w:gridCol w:w="4194"/>
      </w:tblGrid>
      <w:tr w:rsidR="00B57F2E" w14:paraId="2CCA5968" w14:textId="77777777" w:rsidTr="00DF5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111E0B" w14:textId="38876134" w:rsidR="00B57F2E" w:rsidRDefault="00B57F2E" w:rsidP="00E11FA0">
            <w:pPr>
              <w:rPr>
                <w:bCs/>
              </w:rPr>
            </w:pPr>
            <w:r>
              <w:rPr>
                <w:bCs/>
              </w:rPr>
              <w:t>Unit</w:t>
            </w:r>
          </w:p>
        </w:tc>
        <w:tc>
          <w:tcPr>
            <w:tcW w:w="4194" w:type="dxa"/>
          </w:tcPr>
          <w:p w14:paraId="0AFDC4EE" w14:textId="4F1F2C7C" w:rsidR="00B57F2E" w:rsidRDefault="00B57F2E" w:rsidP="00E11FA0">
            <w:pPr>
              <w:cnfStyle w:val="100000000000" w:firstRow="1" w:lastRow="0" w:firstColumn="0" w:lastColumn="0" w:oddVBand="0" w:evenVBand="0" w:oddHBand="0" w:evenHBand="0" w:firstRowFirstColumn="0" w:firstRowLastColumn="0" w:lastRowFirstColumn="0" w:lastRowLastColumn="0"/>
              <w:rPr>
                <w:b w:val="0"/>
                <w:bCs/>
              </w:rPr>
            </w:pPr>
            <w:r>
              <w:rPr>
                <w:bCs/>
              </w:rPr>
              <w:t>Vectors and geometry</w:t>
            </w:r>
          </w:p>
          <w:p w14:paraId="589C6861" w14:textId="277556FF" w:rsidR="00B57F2E" w:rsidRDefault="00B57F2E" w:rsidP="00E11FA0">
            <w:pPr>
              <w:cnfStyle w:val="100000000000" w:firstRow="1" w:lastRow="0" w:firstColumn="0" w:lastColumn="0" w:oddVBand="0" w:evenVBand="0" w:oddHBand="0" w:evenHBand="0" w:firstRowFirstColumn="0" w:firstRowLastColumn="0" w:lastRowFirstColumn="0" w:lastRowLastColumn="0"/>
            </w:pPr>
            <w:r>
              <w:t>Weeks 1–2</w:t>
            </w:r>
          </w:p>
        </w:tc>
        <w:tc>
          <w:tcPr>
            <w:tcW w:w="4194" w:type="dxa"/>
          </w:tcPr>
          <w:p w14:paraId="6D2D15E6" w14:textId="79FA63C4" w:rsidR="00B57F2E" w:rsidRDefault="00B57F2E" w:rsidP="0059484E">
            <w:pPr>
              <w:cnfStyle w:val="100000000000" w:firstRow="1" w:lastRow="0" w:firstColumn="0" w:lastColumn="0" w:oddVBand="0" w:evenVBand="0" w:oddHBand="0" w:evenHBand="0" w:firstRowFirstColumn="0" w:firstRowLastColumn="0" w:lastRowFirstColumn="0" w:lastRowLastColumn="0"/>
              <w:rPr>
                <w:b w:val="0"/>
                <w:bCs/>
              </w:rPr>
            </w:pPr>
            <w:r>
              <w:rPr>
                <w:bCs/>
              </w:rPr>
              <w:t>Further integration</w:t>
            </w:r>
          </w:p>
          <w:p w14:paraId="2883ED5A" w14:textId="259A31CD" w:rsidR="00B57F2E" w:rsidRDefault="00B57F2E" w:rsidP="0059484E">
            <w:pPr>
              <w:cnfStyle w:val="100000000000" w:firstRow="1" w:lastRow="0" w:firstColumn="0" w:lastColumn="0" w:oddVBand="0" w:evenVBand="0" w:oddHBand="0" w:evenHBand="0" w:firstRowFirstColumn="0" w:firstRowLastColumn="0" w:lastRowFirstColumn="0" w:lastRowLastColumn="0"/>
            </w:pPr>
            <w:r>
              <w:t>Weeks 3–8</w:t>
            </w:r>
          </w:p>
        </w:tc>
        <w:tc>
          <w:tcPr>
            <w:tcW w:w="4194" w:type="dxa"/>
          </w:tcPr>
          <w:p w14:paraId="6B7D6124" w14:textId="15D2446D" w:rsidR="00B57F2E" w:rsidRDefault="00B57F2E" w:rsidP="00944865">
            <w:pPr>
              <w:cnfStyle w:val="100000000000" w:firstRow="1" w:lastRow="0" w:firstColumn="0" w:lastColumn="0" w:oddVBand="0" w:evenVBand="0" w:oddHBand="0" w:evenHBand="0" w:firstRowFirstColumn="0" w:firstRowLastColumn="0" w:lastRowFirstColumn="0" w:lastRowLastColumn="0"/>
              <w:rPr>
                <w:b w:val="0"/>
                <w:bCs/>
              </w:rPr>
            </w:pPr>
            <w:r>
              <w:rPr>
                <w:bCs/>
              </w:rPr>
              <w:t>Forces and motion in a straight line</w:t>
            </w:r>
          </w:p>
          <w:p w14:paraId="6418F70B" w14:textId="6916AA8F" w:rsidR="00B57F2E" w:rsidRDefault="00B57F2E" w:rsidP="00944865">
            <w:pPr>
              <w:cnfStyle w:val="100000000000" w:firstRow="1" w:lastRow="0" w:firstColumn="0" w:lastColumn="0" w:oddVBand="0" w:evenVBand="0" w:oddHBand="0" w:evenHBand="0" w:firstRowFirstColumn="0" w:firstRowLastColumn="0" w:lastRowFirstColumn="0" w:lastRowLastColumn="0"/>
            </w:pPr>
            <w:r>
              <w:t>Weeks 9–10</w:t>
            </w:r>
          </w:p>
        </w:tc>
      </w:tr>
      <w:tr w:rsidR="00B57F2E" w14:paraId="7531AFF5" w14:textId="77777777" w:rsidTr="00DF53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2818E6" w14:textId="1E304144" w:rsidR="00B57F2E" w:rsidRPr="006C595B" w:rsidRDefault="00B57F2E" w:rsidP="00E11FA0">
            <w:r>
              <w:t>Outcomes</w:t>
            </w:r>
          </w:p>
        </w:tc>
        <w:tc>
          <w:tcPr>
            <w:tcW w:w="4194" w:type="dxa"/>
          </w:tcPr>
          <w:p w14:paraId="69D4C0A6" w14:textId="14A3C058" w:rsidR="00B57F2E" w:rsidRPr="00B57F2E" w:rsidRDefault="00B57F2E" w:rsidP="00E11FA0">
            <w:pPr>
              <w:cnfStyle w:val="000000100000" w:firstRow="0" w:lastRow="0" w:firstColumn="0" w:lastColumn="0" w:oddVBand="0" w:evenVBand="0" w:oddHBand="1" w:evenHBand="0" w:firstRowFirstColumn="0" w:firstRowLastColumn="0" w:lastRowFirstColumn="0" w:lastRowLastColumn="0"/>
              <w:rPr>
                <w:b/>
                <w:bCs/>
              </w:rPr>
            </w:pPr>
            <w:r w:rsidRPr="00B57F2E">
              <w:rPr>
                <w:b/>
                <w:bCs/>
              </w:rPr>
              <w:t>MA</w:t>
            </w:r>
            <w:r>
              <w:rPr>
                <w:b/>
                <w:bCs/>
              </w:rPr>
              <w:t>O</w:t>
            </w:r>
            <w:r w:rsidRPr="00B57F2E">
              <w:rPr>
                <w:b/>
                <w:bCs/>
              </w:rPr>
              <w:t>-WM-01, ME2-12-02</w:t>
            </w:r>
          </w:p>
        </w:tc>
        <w:tc>
          <w:tcPr>
            <w:tcW w:w="4194" w:type="dxa"/>
          </w:tcPr>
          <w:p w14:paraId="21EF804A" w14:textId="541C4E15" w:rsidR="00B57F2E" w:rsidRPr="006C595B" w:rsidRDefault="00B57F2E" w:rsidP="0059484E">
            <w:pPr>
              <w:cnfStyle w:val="000000100000" w:firstRow="0" w:lastRow="0" w:firstColumn="0" w:lastColumn="0" w:oddVBand="0" w:evenVBand="0" w:oddHBand="1" w:evenHBand="0" w:firstRowFirstColumn="0" w:firstRowLastColumn="0" w:lastRowFirstColumn="0" w:lastRowLastColumn="0"/>
              <w:rPr>
                <w:b/>
              </w:rPr>
            </w:pPr>
            <w:r w:rsidRPr="006C595B">
              <w:rPr>
                <w:b/>
              </w:rPr>
              <w:t>MAO-WM-01, ME2-12-04</w:t>
            </w:r>
          </w:p>
        </w:tc>
        <w:tc>
          <w:tcPr>
            <w:tcW w:w="4194" w:type="dxa"/>
          </w:tcPr>
          <w:p w14:paraId="7C196481" w14:textId="32DC3984" w:rsidR="00B57F2E" w:rsidRDefault="00B57F2E" w:rsidP="00E11FA0">
            <w:pPr>
              <w:cnfStyle w:val="000000100000" w:firstRow="0" w:lastRow="0" w:firstColumn="0" w:lastColumn="0" w:oddVBand="0" w:evenVBand="0" w:oddHBand="1" w:evenHBand="0" w:firstRowFirstColumn="0" w:firstRowLastColumn="0" w:lastRowFirstColumn="0" w:lastRowLastColumn="0"/>
            </w:pPr>
            <w:r w:rsidRPr="006C595B">
              <w:rPr>
                <w:b/>
              </w:rPr>
              <w:t>MAO-WM-01, ME2-12-05</w:t>
            </w:r>
          </w:p>
        </w:tc>
      </w:tr>
      <w:tr w:rsidR="00B57F2E" w14:paraId="782241A5" w14:textId="77777777" w:rsidTr="00DF5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95739A" w14:textId="7EFCEF00" w:rsidR="00B57F2E" w:rsidRPr="003A0662" w:rsidRDefault="00B57F2E" w:rsidP="00AE2C5A">
            <w:pPr>
              <w:rPr>
                <w:bCs/>
              </w:rPr>
            </w:pPr>
            <w:r>
              <w:rPr>
                <w:bCs/>
              </w:rPr>
              <w:t xml:space="preserve">Description </w:t>
            </w:r>
          </w:p>
        </w:tc>
        <w:tc>
          <w:tcPr>
            <w:tcW w:w="4194" w:type="dxa"/>
          </w:tcPr>
          <w:p w14:paraId="3E862DDB" w14:textId="4C5031DB" w:rsidR="00B57F2E" w:rsidRPr="003A0662" w:rsidRDefault="00B57F2E" w:rsidP="00AE2C5A">
            <w:pPr>
              <w:cnfStyle w:val="000000010000" w:firstRow="0" w:lastRow="0" w:firstColumn="0" w:lastColumn="0" w:oddVBand="0" w:evenVBand="0" w:oddHBand="0" w:evenHBand="1" w:firstRowFirstColumn="0" w:firstRowLastColumn="0" w:lastRowFirstColumn="0" w:lastRowLastColumn="0"/>
              <w:rPr>
                <w:b/>
                <w:bCs/>
              </w:rPr>
            </w:pPr>
            <w:r w:rsidRPr="003A0662">
              <w:rPr>
                <w:bCs/>
              </w:rPr>
              <w:t>Vector methods are examined and applied to prove geometric results, including inequalities and properties of triangles, in two and three dimensions.</w:t>
            </w:r>
          </w:p>
        </w:tc>
        <w:tc>
          <w:tcPr>
            <w:tcW w:w="4194" w:type="dxa"/>
          </w:tcPr>
          <w:p w14:paraId="3C99EE25" w14:textId="1D5BCDDC" w:rsidR="00B57F2E" w:rsidRPr="007902C8" w:rsidRDefault="00B57F2E" w:rsidP="0059484E">
            <w:pPr>
              <w:cnfStyle w:val="000000010000" w:firstRow="0" w:lastRow="0" w:firstColumn="0" w:lastColumn="0" w:oddVBand="0" w:evenVBand="0" w:oddHBand="0" w:evenHBand="1" w:firstRowFirstColumn="0" w:firstRowLastColumn="0" w:lastRowFirstColumn="0" w:lastRowLastColumn="0"/>
              <w:rPr>
                <w:bCs/>
              </w:rPr>
            </w:pPr>
            <w:r w:rsidRPr="007902C8">
              <w:rPr>
                <w:bCs/>
              </w:rPr>
              <w:t>This unit explores trigonometric identities, equations and integrals, including product-to-sum formulas and their applications. Advanced integration techniques such as substitution, partial fractions, completing the square and integration by parts are examined and applied to solve theoretical and practical problems.</w:t>
            </w:r>
          </w:p>
        </w:tc>
        <w:tc>
          <w:tcPr>
            <w:tcW w:w="4194" w:type="dxa"/>
          </w:tcPr>
          <w:p w14:paraId="7851E099" w14:textId="00D0D57A" w:rsidR="00B57F2E" w:rsidRPr="008B584B" w:rsidRDefault="00B57F2E" w:rsidP="0059484E">
            <w:pPr>
              <w:cnfStyle w:val="000000010000" w:firstRow="0" w:lastRow="0" w:firstColumn="0" w:lastColumn="0" w:oddVBand="0" w:evenVBand="0" w:oddHBand="0" w:evenHBand="1" w:firstRowFirstColumn="0" w:firstRowLastColumn="0" w:lastRowFirstColumn="0" w:lastRowLastColumn="0"/>
              <w:rPr>
                <w:bCs/>
              </w:rPr>
            </w:pPr>
            <w:r w:rsidRPr="008B584B">
              <w:rPr>
                <w:bCs/>
              </w:rPr>
              <w:t>This unit explores forces and motion in a straight line, using Newton’s laws and vector methods to analyse acceleration and resolve forces in two and three dimensions.</w:t>
            </w:r>
          </w:p>
        </w:tc>
      </w:tr>
    </w:tbl>
    <w:p w14:paraId="630758E3" w14:textId="77777777" w:rsidR="00E11FA0" w:rsidRPr="00802334" w:rsidRDefault="00E11FA0" w:rsidP="00802334">
      <w:r w:rsidRPr="00802334">
        <w:br w:type="page"/>
      </w:r>
    </w:p>
    <w:p w14:paraId="6AEDACC5" w14:textId="3B2EB481" w:rsidR="00CA70FF" w:rsidRDefault="00802334" w:rsidP="00CA70F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Mathematics Extension 2 Term 3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981"/>
        <w:gridCol w:w="5810"/>
        <w:gridCol w:w="6771"/>
      </w:tblGrid>
      <w:tr w:rsidR="00B57F2E" w14:paraId="3835F66E" w14:textId="77777777" w:rsidTr="00825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75AA3780" w14:textId="47AD1CFC" w:rsidR="00B57F2E" w:rsidRDefault="00B57F2E" w:rsidP="00EB4FB8">
            <w:pPr>
              <w:rPr>
                <w:bCs/>
              </w:rPr>
            </w:pPr>
            <w:r>
              <w:rPr>
                <w:bCs/>
              </w:rPr>
              <w:t>Unit</w:t>
            </w:r>
          </w:p>
        </w:tc>
        <w:tc>
          <w:tcPr>
            <w:tcW w:w="1995" w:type="pct"/>
          </w:tcPr>
          <w:p w14:paraId="0C37764B" w14:textId="5F5CC6A4" w:rsidR="00B57F2E" w:rsidRDefault="00B57F2E" w:rsidP="00EB4FB8">
            <w:pPr>
              <w:cnfStyle w:val="100000000000" w:firstRow="1" w:lastRow="0" w:firstColumn="0" w:lastColumn="0" w:oddVBand="0" w:evenVBand="0" w:oddHBand="0" w:evenHBand="0" w:firstRowFirstColumn="0" w:firstRowLastColumn="0" w:lastRowFirstColumn="0" w:lastRowLastColumn="0"/>
              <w:rPr>
                <w:b w:val="0"/>
                <w:bCs/>
              </w:rPr>
            </w:pPr>
            <w:r>
              <w:rPr>
                <w:bCs/>
              </w:rPr>
              <w:t>Applications of calculus to mechanics</w:t>
            </w:r>
          </w:p>
          <w:p w14:paraId="08ED2003" w14:textId="7B27B5F7" w:rsidR="00B57F2E" w:rsidRDefault="00B57F2E" w:rsidP="00EB4FB8">
            <w:pPr>
              <w:cnfStyle w:val="100000000000" w:firstRow="1" w:lastRow="0" w:firstColumn="0" w:lastColumn="0" w:oddVBand="0" w:evenVBand="0" w:oddHBand="0" w:evenHBand="0" w:firstRowFirstColumn="0" w:firstRowLastColumn="0" w:lastRowFirstColumn="0" w:lastRowLastColumn="0"/>
            </w:pPr>
            <w:r>
              <w:t>Weeks 1–6</w:t>
            </w:r>
          </w:p>
        </w:tc>
        <w:tc>
          <w:tcPr>
            <w:tcW w:w="2325" w:type="pct"/>
          </w:tcPr>
          <w:p w14:paraId="3D47015B" w14:textId="3E97C491" w:rsidR="00B57F2E" w:rsidRDefault="00B57F2E" w:rsidP="00EB4FB8">
            <w:pPr>
              <w:cnfStyle w:val="100000000000" w:firstRow="1" w:lastRow="0" w:firstColumn="0" w:lastColumn="0" w:oddVBand="0" w:evenVBand="0" w:oddHBand="0" w:evenHBand="0" w:firstRowFirstColumn="0" w:firstRowLastColumn="0" w:lastRowFirstColumn="0" w:lastRowLastColumn="0"/>
              <w:rPr>
                <w:b w:val="0"/>
                <w:bCs/>
              </w:rPr>
            </w:pPr>
            <w:r>
              <w:rPr>
                <w:bCs/>
              </w:rPr>
              <w:t xml:space="preserve">HSC </w:t>
            </w:r>
            <w:r w:rsidR="00847E02">
              <w:rPr>
                <w:bCs/>
              </w:rPr>
              <w:t>f</w:t>
            </w:r>
            <w:r>
              <w:rPr>
                <w:bCs/>
              </w:rPr>
              <w:t>ocus</w:t>
            </w:r>
          </w:p>
          <w:p w14:paraId="53FFA9FF" w14:textId="09CF922E" w:rsidR="00B57F2E" w:rsidRDefault="00B57F2E" w:rsidP="00EB4FB8">
            <w:pPr>
              <w:cnfStyle w:val="100000000000" w:firstRow="1" w:lastRow="0" w:firstColumn="0" w:lastColumn="0" w:oddVBand="0" w:evenVBand="0" w:oddHBand="0" w:evenHBand="0" w:firstRowFirstColumn="0" w:firstRowLastColumn="0" w:lastRowFirstColumn="0" w:lastRowLastColumn="0"/>
            </w:pPr>
            <w:r>
              <w:t>Weeks 7–10</w:t>
            </w:r>
          </w:p>
        </w:tc>
      </w:tr>
      <w:tr w:rsidR="00B57F2E" w14:paraId="04236015" w14:textId="77777777" w:rsidTr="0082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3376CC6" w14:textId="13E0A86E" w:rsidR="00B57F2E" w:rsidRPr="006C595B" w:rsidRDefault="00B57F2E" w:rsidP="00C94614">
            <w:r>
              <w:t>Outcomes</w:t>
            </w:r>
          </w:p>
        </w:tc>
        <w:tc>
          <w:tcPr>
            <w:tcW w:w="1995" w:type="pct"/>
          </w:tcPr>
          <w:p w14:paraId="093BA591" w14:textId="4854C4D6" w:rsidR="00B57F2E" w:rsidRPr="00B57F2E" w:rsidRDefault="00B57F2E" w:rsidP="00C94614">
            <w:pPr>
              <w:cnfStyle w:val="000000100000" w:firstRow="0" w:lastRow="0" w:firstColumn="0" w:lastColumn="0" w:oddVBand="0" w:evenVBand="0" w:oddHBand="1" w:evenHBand="0" w:firstRowFirstColumn="0" w:firstRowLastColumn="0" w:lastRowFirstColumn="0" w:lastRowLastColumn="0"/>
              <w:rPr>
                <w:b/>
                <w:bCs/>
              </w:rPr>
            </w:pPr>
            <w:r w:rsidRPr="00B57F2E">
              <w:rPr>
                <w:b/>
                <w:bCs/>
              </w:rPr>
              <w:t>MAO-WM-01, ME2-12-05</w:t>
            </w:r>
          </w:p>
        </w:tc>
        <w:tc>
          <w:tcPr>
            <w:tcW w:w="2325" w:type="pct"/>
          </w:tcPr>
          <w:p w14:paraId="504B69B7" w14:textId="5A83CADA" w:rsidR="00B57F2E" w:rsidRPr="00C66000" w:rsidRDefault="00B57F2E" w:rsidP="00C94614">
            <w:pPr>
              <w:cnfStyle w:val="000000100000" w:firstRow="0" w:lastRow="0" w:firstColumn="0" w:lastColumn="0" w:oddVBand="0" w:evenVBand="0" w:oddHBand="1" w:evenHBand="0" w:firstRowFirstColumn="0" w:firstRowLastColumn="0" w:lastRowFirstColumn="0" w:lastRowLastColumn="0"/>
              <w:rPr>
                <w:rStyle w:val="Strong"/>
              </w:rPr>
            </w:pPr>
            <w:r w:rsidRPr="00C66000">
              <w:rPr>
                <w:rStyle w:val="Strong"/>
              </w:rPr>
              <w:t>MAO-WM-01</w:t>
            </w:r>
          </w:p>
        </w:tc>
      </w:tr>
      <w:tr w:rsidR="00B57F2E" w14:paraId="65977F5E" w14:textId="77777777" w:rsidTr="0082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20C53B48" w14:textId="1295C566" w:rsidR="00B57F2E" w:rsidRPr="00B666FF" w:rsidRDefault="00B57F2E" w:rsidP="00EB4FB8">
            <w:r>
              <w:t>Description</w:t>
            </w:r>
          </w:p>
        </w:tc>
        <w:tc>
          <w:tcPr>
            <w:tcW w:w="1995" w:type="pct"/>
          </w:tcPr>
          <w:p w14:paraId="1443579E" w14:textId="47C8A41A" w:rsidR="00B57F2E" w:rsidRPr="006C595B" w:rsidRDefault="00B57F2E" w:rsidP="00EB4FB8">
            <w:pPr>
              <w:cnfStyle w:val="000000010000" w:firstRow="0" w:lastRow="0" w:firstColumn="0" w:lastColumn="0" w:oddVBand="0" w:evenVBand="0" w:oddHBand="0" w:evenHBand="1" w:firstRowFirstColumn="0" w:firstRowLastColumn="0" w:lastRowFirstColumn="0" w:lastRowLastColumn="0"/>
            </w:pPr>
            <w:r w:rsidRPr="00B666FF">
              <w:t>This unit explores simple harmonic motion, resisted motion and projectile motion under various conditions. Key concepts include acceleration, velocity, displacement, forces and resistance, with applications to oscillations, inclined planes, pulleys and terminal velocity.</w:t>
            </w:r>
          </w:p>
        </w:tc>
        <w:tc>
          <w:tcPr>
            <w:tcW w:w="2325" w:type="pct"/>
          </w:tcPr>
          <w:p w14:paraId="7684F427" w14:textId="2D712937" w:rsidR="00B57F2E" w:rsidRPr="00C66000" w:rsidRDefault="00B57F2E" w:rsidP="004B4AF8">
            <w:pPr>
              <w:cnfStyle w:val="000000010000" w:firstRow="0" w:lastRow="0" w:firstColumn="0" w:lastColumn="0" w:oddVBand="0" w:evenVBand="0" w:oddHBand="0" w:evenHBand="1" w:firstRowFirstColumn="0" w:firstRowLastColumn="0" w:lastRowFirstColumn="0" w:lastRowLastColumn="0"/>
              <w:rPr>
                <w:rStyle w:val="Strong"/>
              </w:rPr>
            </w:pPr>
            <w:r w:rsidRPr="000D3473">
              <w:t>This unit allows a focus on non-routine questions across a wide range of contexts.</w:t>
            </w:r>
          </w:p>
        </w:tc>
      </w:tr>
    </w:tbl>
    <w:p w14:paraId="44E1F3C8" w14:textId="77777777" w:rsidR="0073597F" w:rsidRPr="00802334" w:rsidRDefault="0073597F" w:rsidP="00802334">
      <w:r w:rsidRPr="00802334">
        <w:br w:type="page"/>
      </w:r>
    </w:p>
    <w:p w14:paraId="26D92C6F" w14:textId="75D1437D" w:rsidR="00176A46" w:rsidRDefault="00F736E1" w:rsidP="00EE31E9">
      <w:pPr>
        <w:pStyle w:val="Heading2"/>
      </w:pPr>
      <w:bookmarkStart w:id="7" w:name="_Toc192841048"/>
      <w:r w:rsidRPr="00F736E1">
        <w:t>Mathematics Extension 2 Year 12 scope and sequence</w:t>
      </w:r>
      <w:r w:rsidR="00C462D6">
        <w:t xml:space="preserve"> </w:t>
      </w:r>
      <w:r w:rsidR="00CA70FF" w:rsidRPr="00EE31E9">
        <w:t>overview</w:t>
      </w:r>
      <w:bookmarkEnd w:id="7"/>
    </w:p>
    <w:p w14:paraId="2575D574" w14:textId="52F1A438" w:rsidR="009B3039" w:rsidRPr="009B3039" w:rsidRDefault="009B3039" w:rsidP="009B3039">
      <w:r w:rsidRPr="009B3039">
        <w:rPr>
          <w:noProof/>
        </w:rPr>
        <w:drawing>
          <wp:inline distT="0" distB="0" distL="0" distR="0" wp14:anchorId="1B35DCD3" wp14:editId="0CF5168F">
            <wp:extent cx="9251950" cy="4977130"/>
            <wp:effectExtent l="0" t="0" r="6350" b="0"/>
            <wp:docPr id="1611044653" name="Picture 1" descr="Year 12 Extension 2 scope and sequence table that is a summary of the previous 4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44653" name="Picture 1" descr="Year 12 Extension 2 scope and sequence table that is a summary of the previous 4 pages. "/>
                    <pic:cNvPicPr/>
                  </pic:nvPicPr>
                  <pic:blipFill>
                    <a:blip r:embed="rId9"/>
                    <a:stretch>
                      <a:fillRect/>
                    </a:stretch>
                  </pic:blipFill>
                  <pic:spPr>
                    <a:xfrm>
                      <a:off x="0" y="0"/>
                      <a:ext cx="9251950" cy="4977130"/>
                    </a:xfrm>
                    <a:prstGeom prst="rect">
                      <a:avLst/>
                    </a:prstGeom>
                  </pic:spPr>
                </pic:pic>
              </a:graphicData>
            </a:graphic>
          </wp:inline>
        </w:drawing>
      </w:r>
    </w:p>
    <w:p w14:paraId="257BFFD7" w14:textId="06B756FA" w:rsidR="004775EA" w:rsidRPr="004775EA" w:rsidRDefault="004775EA" w:rsidP="00603A3A">
      <w:pPr>
        <w:pStyle w:val="Heading1"/>
      </w:pPr>
      <w:bookmarkStart w:id="8" w:name="_Toc192841049"/>
      <w:bookmarkStart w:id="9" w:name="_Hlk148102399"/>
      <w:r w:rsidRPr="004775EA">
        <w:t>Support and alignment</w:t>
      </w:r>
      <w:bookmarkEnd w:id="4"/>
      <w:bookmarkEnd w:id="5"/>
      <w:bookmarkEnd w:id="6"/>
      <w:bookmarkEnd w:id="8"/>
    </w:p>
    <w:p w14:paraId="3B28E1F9" w14:textId="2797DBC2" w:rsidR="009F36CD" w:rsidRDefault="5C815780" w:rsidP="009F36CD">
      <w:r w:rsidRPr="1F541015">
        <w:rPr>
          <w:b/>
          <w:bCs/>
        </w:rPr>
        <w:t>Resource evaluation and support</w:t>
      </w:r>
      <w:r w:rsidRPr="1F541015">
        <w:t xml:space="preserve">: </w:t>
      </w:r>
      <w:r w:rsidR="2E351B8A" w:rsidRPr="1F541015">
        <w:t>a</w:t>
      </w:r>
      <w:r w:rsidRPr="1F541015">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6CF3F0C8" w:rsidRPr="1F541015">
        <w:t>Mathematics</w:t>
      </w:r>
      <w:r w:rsidRPr="1F541015">
        <w:t xml:space="preserve"> Curriculum team by emailing </w:t>
      </w:r>
      <w:hyperlink r:id="rId10">
        <w:r w:rsidR="6CF3F0C8" w:rsidRPr="1F541015">
          <w:rPr>
            <w:rStyle w:val="Hyperlink"/>
          </w:rPr>
          <w:t>mathematics7-12@det.nsw.edu.au</w:t>
        </w:r>
      </w:hyperlink>
      <w:r w:rsidR="6CF3F0C8" w:rsidRPr="1F541015">
        <w:t xml:space="preserve"> </w:t>
      </w:r>
    </w:p>
    <w:p w14:paraId="2A71D504" w14:textId="583972FC" w:rsidR="009F36CD" w:rsidRPr="00C82E19" w:rsidRDefault="5C815780" w:rsidP="1F541015">
      <w:pPr>
        <w:rPr>
          <w:rFonts w:eastAsia="Arial"/>
        </w:rPr>
      </w:pPr>
      <w:r w:rsidRPr="1F541015">
        <w:rPr>
          <w:b/>
          <w:bCs/>
        </w:rPr>
        <w:t xml:space="preserve">Differentiation: </w:t>
      </w:r>
      <w:r w:rsidR="2E351B8A" w:rsidRPr="1F541015">
        <w:t>f</w:t>
      </w:r>
      <w:r w:rsidRPr="1F541015">
        <w:rPr>
          <w:rFonts w:eastAsia="Arial"/>
        </w:rPr>
        <w:t xml:space="preserve">urther advice to support Aboriginal and Torres Strait Islander students, </w:t>
      </w:r>
      <w:r w:rsidR="0039323A" w:rsidRPr="00426F92">
        <w:rPr>
          <w:rFonts w:eastAsia="Arial"/>
        </w:rPr>
        <w:t>English as an additional language or dialect</w:t>
      </w:r>
      <w:r w:rsidR="0039323A">
        <w:rPr>
          <w:rFonts w:eastAsia="Arial"/>
        </w:rPr>
        <w:t xml:space="preserve"> (</w:t>
      </w:r>
      <w:r w:rsidRPr="1F541015">
        <w:rPr>
          <w:rFonts w:eastAsia="Arial"/>
        </w:rPr>
        <w:t>EALD</w:t>
      </w:r>
      <w:r w:rsidR="0039323A">
        <w:rPr>
          <w:rFonts w:eastAsia="Arial"/>
        </w:rPr>
        <w:t>)</w:t>
      </w:r>
      <w:r w:rsidRPr="1F541015">
        <w:rPr>
          <w:rFonts w:eastAsia="Arial"/>
        </w:rPr>
        <w:t xml:space="preserve"> students, students with a disability and/or additional needs and High Potential and gifted students can be found on the </w:t>
      </w:r>
      <w:hyperlink r:id="rId11">
        <w:r w:rsidRPr="1F541015">
          <w:rPr>
            <w:rStyle w:val="Hyperlink"/>
            <w:rFonts w:eastAsia="Arial"/>
          </w:rPr>
          <w:t>Planning programming and assessing 7</w:t>
        </w:r>
        <w:r w:rsidR="27246F79" w:rsidRPr="1F541015">
          <w:rPr>
            <w:rStyle w:val="Hyperlink"/>
            <w:rFonts w:eastAsia="Arial"/>
          </w:rPr>
          <w:t>–</w:t>
        </w:r>
        <w:r w:rsidRPr="1F541015">
          <w:rPr>
            <w:rStyle w:val="Hyperlink"/>
            <w:rFonts w:eastAsia="Arial"/>
          </w:rPr>
          <w:t>12</w:t>
        </w:r>
      </w:hyperlink>
      <w:r w:rsidRPr="1F541015">
        <w:rPr>
          <w:rFonts w:eastAsia="Arial"/>
        </w:rPr>
        <w:t xml:space="preserve"> webpage. This includes the</w:t>
      </w:r>
      <w:r w:rsidRPr="1F541015">
        <w:t xml:space="preserve"> </w:t>
      </w:r>
      <w:hyperlink r:id="rId12">
        <w:r w:rsidRPr="1F541015">
          <w:rPr>
            <w:rStyle w:val="Hyperlink"/>
          </w:rPr>
          <w:t>Inclusion and differentiation 7</w:t>
        </w:r>
        <w:r w:rsidR="2E351B8A" w:rsidRPr="1F541015">
          <w:rPr>
            <w:rStyle w:val="Hyperlink"/>
          </w:rPr>
          <w:t>–</w:t>
        </w:r>
        <w:r w:rsidRPr="1F541015">
          <w:rPr>
            <w:rStyle w:val="Hyperlink"/>
          </w:rPr>
          <w:t>10 advice</w:t>
        </w:r>
      </w:hyperlink>
      <w:r w:rsidRPr="1F541015">
        <w:t xml:space="preserve"> webpage.</w:t>
      </w:r>
    </w:p>
    <w:p w14:paraId="6C05BFD6" w14:textId="67BE364C"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3">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4"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5" w:history="1">
        <w:r w:rsidR="00D5092B">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40394F75" w14:textId="44BC6E8B" w:rsidR="00EE55AA" w:rsidRDefault="00EE55AA" w:rsidP="00EE55AA">
      <w:r w:rsidRPr="00EE55AA">
        <w:rPr>
          <w:rStyle w:val="Strong"/>
        </w:rPr>
        <w:t>Explicit teaching:</w:t>
      </w:r>
      <w:r w:rsidRPr="00EE55AA">
        <w:t xml:space="preserve"> further advice to support explicit teaching is available on the </w:t>
      </w:r>
      <w:hyperlink r:id="rId16" w:history="1">
        <w:r w:rsidRPr="00EE55AA">
          <w:rPr>
            <w:rStyle w:val="Hyperlink"/>
          </w:rPr>
          <w:t>Explicit teaching</w:t>
        </w:r>
      </w:hyperlink>
      <w:r w:rsidRPr="00EE55AA">
        <w:t xml:space="preserve"> webpage. This includes the CESE </w:t>
      </w:r>
      <w:hyperlink r:id="rId17" w:history="1">
        <w:r w:rsidRPr="00EE55AA">
          <w:rPr>
            <w:rStyle w:val="Hyperlink"/>
          </w:rPr>
          <w:t>Explicit teaching – Driving learning and engagement</w:t>
        </w:r>
      </w:hyperlink>
      <w:r w:rsidRPr="00EE55AA">
        <w:t xml:space="preserve"> webpage.</w:t>
      </w:r>
    </w:p>
    <w:p w14:paraId="79975194" w14:textId="053D64DD" w:rsidR="009F36CD" w:rsidRDefault="009F36CD" w:rsidP="009F36CD">
      <w:r w:rsidRPr="002E7C6F">
        <w:rPr>
          <w:b/>
          <w:bCs/>
        </w:rPr>
        <w:t>Alignment to system priorities and/or needs</w:t>
      </w:r>
      <w:r>
        <w:t xml:space="preserve">: </w:t>
      </w:r>
      <w:hyperlink r:id="rId18" w:history="1">
        <w:r w:rsidRPr="00D336ED">
          <w:rPr>
            <w:rStyle w:val="Hyperlink"/>
          </w:rPr>
          <w:t>School Excellence Policy</w:t>
        </w:r>
      </w:hyperlink>
      <w:r>
        <w:t xml:space="preserve">, </w:t>
      </w:r>
      <w:hyperlink r:id="rId19" w:history="1">
        <w:r w:rsidR="00EE55AA" w:rsidRPr="00EE55AA">
          <w:rPr>
            <w:rStyle w:val="Hyperlink"/>
          </w:rPr>
          <w:t>Our Plan for NSW Public Education</w:t>
        </w:r>
      </w:hyperlink>
    </w:p>
    <w:p w14:paraId="3D218B15" w14:textId="61A21CEE" w:rsidR="009F36CD" w:rsidRDefault="009F36CD" w:rsidP="009F36CD">
      <w:r w:rsidRPr="002E7C6F">
        <w:rPr>
          <w:b/>
          <w:bCs/>
        </w:rPr>
        <w:t>Alignment to the School Excellence Framework</w:t>
      </w:r>
      <w:r>
        <w:t xml:space="preserve">: </w:t>
      </w:r>
      <w:r w:rsidR="004D18D4">
        <w:t>t</w:t>
      </w:r>
      <w:r>
        <w:t xml:space="preserve">his resource supports the </w:t>
      </w:r>
      <w:hyperlink r:id="rId20" w:history="1">
        <w:r w:rsidRPr="00D336ED">
          <w:rPr>
            <w:rStyle w:val="Hyperlink"/>
          </w:rPr>
          <w:t>School Excellence Framework</w:t>
        </w:r>
      </w:hyperlink>
      <w:r>
        <w:t xml:space="preserve"> elements of curriculum (curriculum provision) and effective classroom practice (lesson planning, explicit teaching).</w:t>
      </w:r>
    </w:p>
    <w:p w14:paraId="1D2617E1" w14:textId="18EBEC1D" w:rsidR="004E2802" w:rsidRPr="00176A46" w:rsidRDefault="009F36CD" w:rsidP="00176A46">
      <w:r w:rsidRPr="708AD2A7">
        <w:rPr>
          <w:b/>
          <w:bCs/>
        </w:rPr>
        <w:t xml:space="preserve">Alignment to </w:t>
      </w:r>
      <w:r w:rsidR="003849C7">
        <w:rPr>
          <w:b/>
          <w:bCs/>
        </w:rPr>
        <w:t xml:space="preserve">the </w:t>
      </w:r>
      <w:r w:rsidRPr="708AD2A7">
        <w:rPr>
          <w:b/>
          <w:bCs/>
        </w:rPr>
        <w:t>Australian Professional Standards</w:t>
      </w:r>
      <w:r w:rsidR="003849C7">
        <w:rPr>
          <w:b/>
          <w:bCs/>
        </w:rPr>
        <w:t xml:space="preserve"> for Teachers</w:t>
      </w:r>
      <w:r>
        <w:t xml:space="preserve">: </w:t>
      </w:r>
      <w:r w:rsidR="004D18D4">
        <w:t>t</w:t>
      </w:r>
      <w:r>
        <w:t xml:space="preserve">his resource supports teachers to address </w:t>
      </w:r>
      <w:hyperlink r:id="rId21">
        <w:r w:rsidR="003849C7">
          <w:rPr>
            <w:rStyle w:val="Hyperlink"/>
          </w:rPr>
          <w:t>Proficient Teacher Standard Descriptors</w:t>
        </w:r>
      </w:hyperlink>
      <w:r>
        <w:t xml:space="preserve"> 3.2.2, 3.3.2.</w:t>
      </w:r>
      <w:bookmarkStart w:id="10" w:name="_Toc147483517"/>
      <w:bookmarkEnd w:id="9"/>
    </w:p>
    <w:p w14:paraId="45E7F818" w14:textId="07BDF329" w:rsidR="00ED4BFA" w:rsidRDefault="00ED4BFA" w:rsidP="00603A3A">
      <w:pPr>
        <w:pStyle w:val="Heading1"/>
      </w:pPr>
      <w:bookmarkStart w:id="11" w:name="_Toc192841050"/>
      <w:r>
        <w:t xml:space="preserve">Evidence </w:t>
      </w:r>
      <w:r w:rsidR="004668C5">
        <w:t>base</w:t>
      </w:r>
      <w:bookmarkEnd w:id="10"/>
      <w:bookmarkEnd w:id="11"/>
    </w:p>
    <w:p w14:paraId="1ED45762" w14:textId="77777777" w:rsidR="00D5092B" w:rsidRPr="00AE7FE3" w:rsidRDefault="00D5092B" w:rsidP="00D5092B">
      <w:pPr>
        <w:pStyle w:val="FeatureBox2"/>
      </w:pPr>
      <w:bookmarkStart w:id="12" w:name="_Hlk191971660"/>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2909FD" w14:textId="77777777" w:rsidR="00D5092B" w:rsidRPr="00AE7FE3" w:rsidRDefault="00D5092B" w:rsidP="00D5092B">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871225F" w14:textId="77777777" w:rsidR="00D5092B" w:rsidRPr="00AE7FE3" w:rsidRDefault="00D5092B" w:rsidP="00D5092B">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sidRPr="00AE7FE3">
          <w:rPr>
            <w:rStyle w:val="Hyperlink"/>
          </w:rPr>
          <w:t>https://curriculum.nsw.edu.au</w:t>
        </w:r>
      </w:hyperlink>
      <w:r w:rsidRPr="00AE7FE3">
        <w:t>.</w:t>
      </w:r>
    </w:p>
    <w:bookmarkEnd w:id="12"/>
    <w:p w14:paraId="3430A469" w14:textId="3A08BCFF" w:rsidR="008B6F21" w:rsidRDefault="00176A46" w:rsidP="00832FC1">
      <w:r>
        <w:fldChar w:fldCharType="begin"/>
      </w:r>
      <w:r>
        <w:instrText>HYPERLINK "https://curriculum.nsw.edu.au/learning-areas/mathematics/mathematics-extension-2-11-12-2024/overview"</w:instrText>
      </w:r>
      <w:r>
        <w:fldChar w:fldCharType="separate"/>
      </w:r>
      <w:r w:rsidRPr="00B76E5E">
        <w:rPr>
          <w:rStyle w:val="Hyperlink"/>
        </w:rPr>
        <w:t xml:space="preserve">Mathematics </w:t>
      </w:r>
      <w:r w:rsidR="009B5905" w:rsidRPr="00B76E5E">
        <w:rPr>
          <w:rStyle w:val="Hyperlink"/>
        </w:rPr>
        <w:t>Extension 2</w:t>
      </w:r>
      <w:r w:rsidR="008B6F21" w:rsidRPr="00B76E5E">
        <w:rPr>
          <w:rStyle w:val="Hyperlink"/>
        </w:rPr>
        <w:t xml:space="preserve"> </w:t>
      </w:r>
      <w:r w:rsidRPr="00B76E5E">
        <w:rPr>
          <w:rStyle w:val="Hyperlink"/>
        </w:rPr>
        <w:t>Stage 6</w:t>
      </w:r>
      <w:r w:rsidR="008B6F21" w:rsidRPr="00B76E5E">
        <w:rPr>
          <w:rStyle w:val="Hyperlink"/>
        </w:rPr>
        <w:t xml:space="preserve"> Syllabus</w:t>
      </w:r>
      <w:r>
        <w:fldChar w:fldCharType="end"/>
      </w:r>
      <w:r w:rsidR="008B6F21" w:rsidRPr="00832FC1">
        <w:t xml:space="preserve"> © NSW Education Standards Authority (NESA) for and on behalf of the Crown in right of the State of New South</w:t>
      </w:r>
      <w:r w:rsidR="008B6F21" w:rsidRPr="00C63EA7">
        <w:t xml:space="preserve"> Wales, </w:t>
      </w:r>
      <w:r>
        <w:t>2024</w:t>
      </w:r>
      <w:r w:rsidR="008B6F21" w:rsidRPr="00C63EA7">
        <w:t>.</w:t>
      </w:r>
    </w:p>
    <w:p w14:paraId="61040146" w14:textId="4940E5FA" w:rsidR="00ED4BFA" w:rsidRDefault="00ED4BFA" w:rsidP="00ED4BFA">
      <w:r>
        <w:t xml:space="preserve">NESA </w:t>
      </w:r>
      <w:r w:rsidR="001F3690">
        <w:t>(</w:t>
      </w:r>
      <w:r>
        <w:t>NSW Education Standards Authority</w:t>
      </w:r>
      <w:r w:rsidR="001F3690">
        <w:t>)</w:t>
      </w:r>
      <w:r>
        <w:t xml:space="preserve"> (2021) </w:t>
      </w:r>
      <w:r w:rsidR="00013D7A">
        <w:t>‘</w:t>
      </w:r>
      <w:hyperlink r:id="rId25" w:history="1">
        <w:r w:rsidRPr="00ED0929">
          <w:rPr>
            <w:rStyle w:val="Hyperlink"/>
            <w:iCs/>
          </w:rPr>
          <w:t>Advice o</w:t>
        </w:r>
        <w:r w:rsidR="002F535B">
          <w:rPr>
            <w:rStyle w:val="Hyperlink"/>
            <w:iCs/>
          </w:rPr>
          <w:t>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1F0B5D">
        <w:t>26 Feb</w:t>
      </w:r>
      <w:r w:rsidR="00802334">
        <w:t>ruary</w:t>
      </w:r>
      <w:r w:rsidR="001F0B5D">
        <w:t xml:space="preserve"> 202</w:t>
      </w:r>
      <w:r w:rsidR="00F1211B">
        <w:t>5</w:t>
      </w:r>
      <w:r w:rsidR="00C61AC5">
        <w:t>.</w:t>
      </w:r>
    </w:p>
    <w:p w14:paraId="5188A1BE" w14:textId="77777777" w:rsidR="00684CDB" w:rsidRDefault="00684CDB" w:rsidP="00ED4BFA">
      <w:pPr>
        <w:sectPr w:rsidR="00684CDB" w:rsidSect="003769C0">
          <w:headerReference w:type="default" r:id="rId26"/>
          <w:footerReference w:type="even" r:id="rId27"/>
          <w:footerReference w:type="default" r:id="rId28"/>
          <w:headerReference w:type="first" r:id="rId29"/>
          <w:footerReference w:type="first" r:id="rId30"/>
          <w:pgSz w:w="16838" w:h="11906" w:orient="landscape"/>
          <w:pgMar w:top="1134" w:right="1134" w:bottom="1134" w:left="1134" w:header="709" w:footer="709" w:gutter="0"/>
          <w:pgNumType w:start="0"/>
          <w:cols w:space="708"/>
          <w:titlePg/>
          <w:docGrid w:linePitch="360"/>
        </w:sectPr>
      </w:pPr>
    </w:p>
    <w:p w14:paraId="753F3AB0" w14:textId="7AC9C2F1" w:rsidR="002C1558" w:rsidRPr="00762C8B" w:rsidRDefault="002C1558" w:rsidP="002C1558">
      <w:pPr>
        <w:spacing w:before="0" w:after="0"/>
        <w:rPr>
          <w:rStyle w:val="Strong"/>
          <w:szCs w:val="22"/>
        </w:rPr>
      </w:pPr>
      <w:r w:rsidRPr="00762C8B">
        <w:rPr>
          <w:rStyle w:val="Strong"/>
          <w:szCs w:val="22"/>
        </w:rPr>
        <w:t xml:space="preserve">© State of New South Wales (Department of Education), </w:t>
      </w:r>
      <w:r w:rsidR="00D5092B">
        <w:rPr>
          <w:rStyle w:val="Strong"/>
          <w:szCs w:val="22"/>
        </w:rPr>
        <w:t>2025</w:t>
      </w:r>
    </w:p>
    <w:p w14:paraId="15BB603C" w14:textId="77777777" w:rsidR="002C1558" w:rsidRDefault="2297DF50" w:rsidP="00762C8B">
      <w:r w:rsidRPr="1F541015">
        <w:t xml:space="preserve">The copyright material published in this resource is subject to the </w:t>
      </w:r>
      <w:r w:rsidRPr="1F541015">
        <w:rPr>
          <w:i/>
          <w:iCs/>
        </w:rPr>
        <w:t>Copyright Act 1968</w:t>
      </w:r>
      <w:r w:rsidRPr="1F541015">
        <w:t xml:space="preserve"> (</w:t>
      </w:r>
      <w:proofErr w:type="spellStart"/>
      <w:r w:rsidRPr="1F541015">
        <w:t>Cth</w:t>
      </w:r>
      <w:proofErr w:type="spellEnd"/>
      <w:r w:rsidRPr="1F541015">
        <w:t>) and is owned by the NSW Department of Education or, where indicated, by a party other than the NSW Department of Education (third-party material).</w:t>
      </w:r>
    </w:p>
    <w:p w14:paraId="50679FA8" w14:textId="77777777" w:rsidR="002C1558" w:rsidRDefault="002C1558" w:rsidP="002C1558">
      <w:pPr>
        <w:spacing w:line="276" w:lineRule="auto"/>
      </w:pPr>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3264E346" w14:textId="77777777" w:rsidR="002C1558" w:rsidRDefault="002C1558" w:rsidP="002C1558">
      <w:pPr>
        <w:spacing w:line="276" w:lineRule="auto"/>
      </w:pPr>
      <w:r>
        <w:t xml:space="preserve"> </w:t>
      </w:r>
      <w:r>
        <w:rPr>
          <w:noProof/>
        </w:rPr>
        <w:drawing>
          <wp:inline distT="0" distB="0" distL="0" distR="0" wp14:anchorId="581613BA" wp14:editId="61FFA162">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6FB5D7" w14:textId="77777777" w:rsidR="002C1558" w:rsidRPr="002D3434" w:rsidRDefault="002C1558" w:rsidP="002C1558">
      <w:pPr>
        <w:spacing w:line="276" w:lineRule="auto"/>
      </w:pPr>
      <w:r w:rsidRPr="002D3434">
        <w:t>This license allows you to share and adapt the material for any purpose, even commercially.</w:t>
      </w:r>
    </w:p>
    <w:p w14:paraId="4F9FE8E6" w14:textId="60FE1857" w:rsidR="002C1558" w:rsidRPr="002D3434" w:rsidRDefault="002C1558" w:rsidP="002C1558">
      <w:pPr>
        <w:spacing w:line="276" w:lineRule="auto"/>
      </w:pPr>
      <w:r w:rsidRPr="002D3434">
        <w:t xml:space="preserve">Attribution should be given to © State of New South Wales (Department of Education), </w:t>
      </w:r>
      <w:r w:rsidR="00D5092B">
        <w:t>2025</w:t>
      </w:r>
      <w:r w:rsidRPr="002D3434">
        <w:t>.</w:t>
      </w:r>
    </w:p>
    <w:p w14:paraId="44B699B2" w14:textId="77777777" w:rsidR="002C1558" w:rsidRPr="002D3434" w:rsidRDefault="002C1558" w:rsidP="002C1558">
      <w:pPr>
        <w:spacing w:line="276" w:lineRule="auto"/>
      </w:pPr>
      <w:r w:rsidRPr="002D3434">
        <w:t>Material in this resource not available under a Creative Commons license:</w:t>
      </w:r>
    </w:p>
    <w:p w14:paraId="2C3308D9" w14:textId="77777777" w:rsidR="002C1558" w:rsidRPr="002D3434" w:rsidRDefault="2297DF50" w:rsidP="5B1E1628">
      <w:pPr>
        <w:pStyle w:val="ListBullet"/>
        <w:spacing w:line="276" w:lineRule="auto"/>
      </w:pPr>
      <w:r w:rsidRPr="1F541015">
        <w:t>the NSW Department of Education logo, other logos and trademark-protected material</w:t>
      </w:r>
    </w:p>
    <w:p w14:paraId="3CE735BD"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D056363"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2C28AA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16D8D1" w14:textId="6CEE2871" w:rsidR="00684CDB" w:rsidRPr="00C57987" w:rsidRDefault="2297DF50" w:rsidP="002C1558">
      <w:pPr>
        <w:pStyle w:val="FeatureBox2"/>
        <w:spacing w:line="276" w:lineRule="auto"/>
      </w:pPr>
      <w:r w:rsidRPr="1F5410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1F541015">
        <w:t>where</w:t>
      </w:r>
      <w:proofErr w:type="gramEnd"/>
      <w:r w:rsidRPr="1F541015">
        <w:t xml:space="preserve"> permitted by the </w:t>
      </w:r>
      <w:r w:rsidRPr="1F541015">
        <w:rPr>
          <w:i/>
          <w:iCs/>
        </w:rPr>
        <w:t>Copyright Act 1968</w:t>
      </w:r>
      <w:r w:rsidRPr="1F541015">
        <w:t xml:space="preserve"> (</w:t>
      </w:r>
      <w:proofErr w:type="spellStart"/>
      <w:r w:rsidRPr="1F541015">
        <w:t>Cth</w:t>
      </w:r>
      <w:proofErr w:type="spellEnd"/>
      <w:r w:rsidRPr="1F541015">
        <w:t>). The department accepts no responsibility for content on third-party websites.</w:t>
      </w:r>
    </w:p>
    <w:sectPr w:rsidR="00684CDB" w:rsidRPr="00C57987" w:rsidSect="003769C0">
      <w:headerReference w:type="default" r:id="rId33"/>
      <w:footerReference w:type="default" r:id="rId34"/>
      <w:headerReference w:type="first" r:id="rId35"/>
      <w:footerReference w:type="first" r:id="rId3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B9078" w14:textId="77777777" w:rsidR="0057751F" w:rsidRDefault="0057751F" w:rsidP="00E51733">
      <w:r>
        <w:separator/>
      </w:r>
    </w:p>
  </w:endnote>
  <w:endnote w:type="continuationSeparator" w:id="0">
    <w:p w14:paraId="35A3319D" w14:textId="77777777" w:rsidR="0057751F" w:rsidRDefault="0057751F" w:rsidP="00E51733">
      <w:r>
        <w:continuationSeparator/>
      </w:r>
    </w:p>
  </w:endnote>
  <w:endnote w:type="continuationNotice" w:id="1">
    <w:p w14:paraId="053E78B0" w14:textId="77777777" w:rsidR="0057751F" w:rsidRDefault="005775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4A0FA67-0C9B-4ED8-A809-C59139E9AF22}"/>
  </w:font>
  <w:font w:name="Calibri">
    <w:panose1 w:val="020F0502020204030204"/>
    <w:charset w:val="00"/>
    <w:family w:val="swiss"/>
    <w:pitch w:val="variable"/>
    <w:sig w:usb0="E4002EFF" w:usb1="C200247B" w:usb2="00000009" w:usb3="00000000" w:csb0="000001FF" w:csb1="00000000"/>
    <w:embedRegular r:id="rId2" w:fontKey="{17610F50-F17D-4A41-B0E9-98EB6C56CD43}"/>
    <w:embedBold r:id="rId3" w:fontKey="{07C3DD05-87A4-423B-9242-0E91552D6520}"/>
    <w:embedItalic r:id="rId4" w:fontKey="{C5E8DF6D-6366-4990-84C7-0F75404CB6E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7C8147C-E252-48D1-A631-428AF837F425}"/>
  </w:font>
  <w:font w:name="Calibri Light">
    <w:panose1 w:val="020F0302020204030204"/>
    <w:charset w:val="00"/>
    <w:family w:val="swiss"/>
    <w:pitch w:val="variable"/>
    <w:sig w:usb0="E4002EFF" w:usb1="C200247B" w:usb2="00000009" w:usb3="00000000" w:csb0="000001FF" w:csb1="00000000"/>
    <w:embedRegular r:id="rId6" w:fontKey="{4D8EE947-DFC0-453A-B951-06002719A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117" w14:textId="09A657F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A0EE1">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AF9" w14:textId="171E46F6"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FA0EE1">
      <w:rPr>
        <w:noProof/>
      </w:rPr>
      <w:t>Mar-25</w:t>
    </w:r>
    <w:r>
      <w:fldChar w:fldCharType="end"/>
    </w:r>
    <w:r>
      <w:ptab w:relativeTo="margin" w:alignment="right" w:leader="none"/>
    </w:r>
    <w:r>
      <w:rPr>
        <w:b/>
        <w:noProof/>
        <w:sz w:val="28"/>
        <w:szCs w:val="28"/>
      </w:rPr>
      <w:drawing>
        <wp:inline distT="0" distB="0" distL="0" distR="0" wp14:anchorId="4B70A409" wp14:editId="50650714">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A231" w14:textId="77777777" w:rsidR="00684CDB" w:rsidRPr="002F375A" w:rsidRDefault="00684CDB" w:rsidP="00684CDB">
    <w:pPr>
      <w:pStyle w:val="Logo"/>
      <w:jc w:val="right"/>
    </w:pPr>
    <w:r w:rsidRPr="008426B6">
      <w:rPr>
        <w:noProof/>
      </w:rPr>
      <w:drawing>
        <wp:inline distT="0" distB="0" distL="0" distR="0" wp14:anchorId="4943F3F6" wp14:editId="4EF30D1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784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4E5"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A3D2F" w14:textId="77777777" w:rsidR="0057751F" w:rsidRDefault="0057751F" w:rsidP="00E51733">
      <w:r>
        <w:separator/>
      </w:r>
    </w:p>
  </w:footnote>
  <w:footnote w:type="continuationSeparator" w:id="0">
    <w:p w14:paraId="2D90E256" w14:textId="77777777" w:rsidR="0057751F" w:rsidRDefault="0057751F" w:rsidP="00E51733">
      <w:r>
        <w:continuationSeparator/>
      </w:r>
    </w:p>
  </w:footnote>
  <w:footnote w:type="continuationNotice" w:id="1">
    <w:p w14:paraId="1E0DD518" w14:textId="77777777" w:rsidR="0057751F" w:rsidRDefault="0057751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173B" w14:textId="38ACC094" w:rsidR="00684CDB" w:rsidRDefault="00437D84" w:rsidP="00684CDB">
    <w:pPr>
      <w:pStyle w:val="Documentname"/>
    </w:pPr>
    <w:r>
      <w:t xml:space="preserve">Mathematics </w:t>
    </w:r>
    <w:r w:rsidR="00F12BF7">
      <w:t xml:space="preserve">Extension 2 </w:t>
    </w:r>
    <w:r w:rsidR="00603A3A" w:rsidRPr="00603A3A">
      <w:t xml:space="preserve">Stage </w:t>
    </w:r>
    <w:r>
      <w:t>6</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3222" w14:textId="21D3F93B" w:rsidR="00761246" w:rsidRPr="00684CDB" w:rsidRDefault="001811A9" w:rsidP="00684CDB">
    <w:pPr>
      <w:pStyle w:val="Header"/>
      <w:spacing w:after="0"/>
    </w:pPr>
    <w:r>
      <w:pict w14:anchorId="132E6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0C23"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F7FF" w14:textId="77777777" w:rsidR="002C1558" w:rsidRPr="00FA6449" w:rsidRDefault="002C1558" w:rsidP="00944865">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1C46"/>
    <w:rsid w:val="0001252D"/>
    <w:rsid w:val="00013D7A"/>
    <w:rsid w:val="00013FF2"/>
    <w:rsid w:val="00022290"/>
    <w:rsid w:val="000252CB"/>
    <w:rsid w:val="00045F0D"/>
    <w:rsid w:val="0004747F"/>
    <w:rsid w:val="0004750C"/>
    <w:rsid w:val="00047862"/>
    <w:rsid w:val="00052100"/>
    <w:rsid w:val="00054DC1"/>
    <w:rsid w:val="00056914"/>
    <w:rsid w:val="00061D5B"/>
    <w:rsid w:val="00062552"/>
    <w:rsid w:val="00065A05"/>
    <w:rsid w:val="00074F0F"/>
    <w:rsid w:val="00081AED"/>
    <w:rsid w:val="0008228A"/>
    <w:rsid w:val="000938B1"/>
    <w:rsid w:val="00094873"/>
    <w:rsid w:val="000B3F3B"/>
    <w:rsid w:val="000C1B93"/>
    <w:rsid w:val="000C24ED"/>
    <w:rsid w:val="000C6591"/>
    <w:rsid w:val="000D3BBE"/>
    <w:rsid w:val="000D7466"/>
    <w:rsid w:val="000E0FE8"/>
    <w:rsid w:val="000F59ED"/>
    <w:rsid w:val="0010424A"/>
    <w:rsid w:val="00112528"/>
    <w:rsid w:val="00112767"/>
    <w:rsid w:val="00117431"/>
    <w:rsid w:val="0012222C"/>
    <w:rsid w:val="00126B7C"/>
    <w:rsid w:val="00140D9B"/>
    <w:rsid w:val="0014582B"/>
    <w:rsid w:val="0015043F"/>
    <w:rsid w:val="001510AE"/>
    <w:rsid w:val="00171783"/>
    <w:rsid w:val="00172914"/>
    <w:rsid w:val="00173515"/>
    <w:rsid w:val="00175619"/>
    <w:rsid w:val="00176A46"/>
    <w:rsid w:val="001811A9"/>
    <w:rsid w:val="00181457"/>
    <w:rsid w:val="00190C6F"/>
    <w:rsid w:val="00190D3C"/>
    <w:rsid w:val="00191CC1"/>
    <w:rsid w:val="001977E5"/>
    <w:rsid w:val="001A121A"/>
    <w:rsid w:val="001A248D"/>
    <w:rsid w:val="001A2D64"/>
    <w:rsid w:val="001A3009"/>
    <w:rsid w:val="001B1224"/>
    <w:rsid w:val="001C7E97"/>
    <w:rsid w:val="001D4230"/>
    <w:rsid w:val="001D5230"/>
    <w:rsid w:val="001F0B5D"/>
    <w:rsid w:val="001F3690"/>
    <w:rsid w:val="001F3764"/>
    <w:rsid w:val="001F5C52"/>
    <w:rsid w:val="001F6B5E"/>
    <w:rsid w:val="00200BA3"/>
    <w:rsid w:val="00202E19"/>
    <w:rsid w:val="002105AD"/>
    <w:rsid w:val="002334C4"/>
    <w:rsid w:val="00246388"/>
    <w:rsid w:val="00247C1F"/>
    <w:rsid w:val="0025103A"/>
    <w:rsid w:val="0025592F"/>
    <w:rsid w:val="002619C5"/>
    <w:rsid w:val="0026548C"/>
    <w:rsid w:val="00266207"/>
    <w:rsid w:val="00266F55"/>
    <w:rsid w:val="002709E3"/>
    <w:rsid w:val="0027370C"/>
    <w:rsid w:val="00283339"/>
    <w:rsid w:val="00296C3A"/>
    <w:rsid w:val="002A28B4"/>
    <w:rsid w:val="002A2B8C"/>
    <w:rsid w:val="002A35CF"/>
    <w:rsid w:val="002A475D"/>
    <w:rsid w:val="002A6D21"/>
    <w:rsid w:val="002C1558"/>
    <w:rsid w:val="002D0B40"/>
    <w:rsid w:val="002D3ACA"/>
    <w:rsid w:val="002E5F5F"/>
    <w:rsid w:val="002F4C51"/>
    <w:rsid w:val="002F535B"/>
    <w:rsid w:val="002F7CFE"/>
    <w:rsid w:val="00303085"/>
    <w:rsid w:val="0030477F"/>
    <w:rsid w:val="003057F1"/>
    <w:rsid w:val="00306594"/>
    <w:rsid w:val="00306C23"/>
    <w:rsid w:val="00330BCE"/>
    <w:rsid w:val="00335ACA"/>
    <w:rsid w:val="00337FFA"/>
    <w:rsid w:val="0034048F"/>
    <w:rsid w:val="00340DD9"/>
    <w:rsid w:val="00340F58"/>
    <w:rsid w:val="00342A50"/>
    <w:rsid w:val="00350EC1"/>
    <w:rsid w:val="00351C0E"/>
    <w:rsid w:val="0035260B"/>
    <w:rsid w:val="003536B7"/>
    <w:rsid w:val="00356DDE"/>
    <w:rsid w:val="00360E17"/>
    <w:rsid w:val="0036209C"/>
    <w:rsid w:val="003659B8"/>
    <w:rsid w:val="00367F27"/>
    <w:rsid w:val="003769C0"/>
    <w:rsid w:val="00377135"/>
    <w:rsid w:val="003849C7"/>
    <w:rsid w:val="00385DFB"/>
    <w:rsid w:val="0039316D"/>
    <w:rsid w:val="0039323A"/>
    <w:rsid w:val="003A0662"/>
    <w:rsid w:val="003A31D4"/>
    <w:rsid w:val="003A3234"/>
    <w:rsid w:val="003A5190"/>
    <w:rsid w:val="003A7A75"/>
    <w:rsid w:val="003B1EF6"/>
    <w:rsid w:val="003B240E"/>
    <w:rsid w:val="003B2EB3"/>
    <w:rsid w:val="003B58F7"/>
    <w:rsid w:val="003B5DF4"/>
    <w:rsid w:val="003B65D4"/>
    <w:rsid w:val="003C24DF"/>
    <w:rsid w:val="003C77C3"/>
    <w:rsid w:val="003D13EF"/>
    <w:rsid w:val="003E1D01"/>
    <w:rsid w:val="003E77F5"/>
    <w:rsid w:val="00401084"/>
    <w:rsid w:val="004036D8"/>
    <w:rsid w:val="00407EF0"/>
    <w:rsid w:val="00412F2B"/>
    <w:rsid w:val="00413D93"/>
    <w:rsid w:val="004178B3"/>
    <w:rsid w:val="004274D6"/>
    <w:rsid w:val="00430F12"/>
    <w:rsid w:val="00435B88"/>
    <w:rsid w:val="004371BA"/>
    <w:rsid w:val="00437D84"/>
    <w:rsid w:val="00450E47"/>
    <w:rsid w:val="00455A01"/>
    <w:rsid w:val="00462FE8"/>
    <w:rsid w:val="004662AB"/>
    <w:rsid w:val="004668C5"/>
    <w:rsid w:val="00466E5A"/>
    <w:rsid w:val="004713A2"/>
    <w:rsid w:val="004775EA"/>
    <w:rsid w:val="00480185"/>
    <w:rsid w:val="00481569"/>
    <w:rsid w:val="0048529D"/>
    <w:rsid w:val="0048642E"/>
    <w:rsid w:val="004937DF"/>
    <w:rsid w:val="004A5D84"/>
    <w:rsid w:val="004B484F"/>
    <w:rsid w:val="004B4AF8"/>
    <w:rsid w:val="004B57BB"/>
    <w:rsid w:val="004C11A9"/>
    <w:rsid w:val="004D18D4"/>
    <w:rsid w:val="004D2F5D"/>
    <w:rsid w:val="004E2802"/>
    <w:rsid w:val="004E2B4F"/>
    <w:rsid w:val="004E4BE5"/>
    <w:rsid w:val="004F48DD"/>
    <w:rsid w:val="004F6AF2"/>
    <w:rsid w:val="004F6BAC"/>
    <w:rsid w:val="00500470"/>
    <w:rsid w:val="005024E3"/>
    <w:rsid w:val="00511863"/>
    <w:rsid w:val="00522E82"/>
    <w:rsid w:val="0052337E"/>
    <w:rsid w:val="005236F9"/>
    <w:rsid w:val="00526795"/>
    <w:rsid w:val="00531EFD"/>
    <w:rsid w:val="0053609D"/>
    <w:rsid w:val="00537116"/>
    <w:rsid w:val="00541FBB"/>
    <w:rsid w:val="00550598"/>
    <w:rsid w:val="005649D2"/>
    <w:rsid w:val="00567864"/>
    <w:rsid w:val="0057751F"/>
    <w:rsid w:val="0058102D"/>
    <w:rsid w:val="00583731"/>
    <w:rsid w:val="005934B4"/>
    <w:rsid w:val="0059484E"/>
    <w:rsid w:val="005A34D4"/>
    <w:rsid w:val="005A67CA"/>
    <w:rsid w:val="005A7384"/>
    <w:rsid w:val="005B184F"/>
    <w:rsid w:val="005B1EEE"/>
    <w:rsid w:val="005B77E0"/>
    <w:rsid w:val="005C08F4"/>
    <w:rsid w:val="005C14A7"/>
    <w:rsid w:val="005D0140"/>
    <w:rsid w:val="005D49FE"/>
    <w:rsid w:val="005D4F2F"/>
    <w:rsid w:val="005E1F63"/>
    <w:rsid w:val="005E2E29"/>
    <w:rsid w:val="005E39EE"/>
    <w:rsid w:val="005E3B0F"/>
    <w:rsid w:val="005E5BB4"/>
    <w:rsid w:val="005F2D02"/>
    <w:rsid w:val="00600ADE"/>
    <w:rsid w:val="006010BF"/>
    <w:rsid w:val="0060124A"/>
    <w:rsid w:val="00601D13"/>
    <w:rsid w:val="00603A3A"/>
    <w:rsid w:val="00626BBF"/>
    <w:rsid w:val="00626CA6"/>
    <w:rsid w:val="00636EDA"/>
    <w:rsid w:val="00637453"/>
    <w:rsid w:val="00640F4C"/>
    <w:rsid w:val="0064273E"/>
    <w:rsid w:val="00643CC4"/>
    <w:rsid w:val="00647411"/>
    <w:rsid w:val="00647DF8"/>
    <w:rsid w:val="00677835"/>
    <w:rsid w:val="00677D9E"/>
    <w:rsid w:val="00680388"/>
    <w:rsid w:val="00684CDB"/>
    <w:rsid w:val="00696410"/>
    <w:rsid w:val="006A3884"/>
    <w:rsid w:val="006A466F"/>
    <w:rsid w:val="006A481E"/>
    <w:rsid w:val="006A6831"/>
    <w:rsid w:val="006B25B8"/>
    <w:rsid w:val="006B3488"/>
    <w:rsid w:val="006C595B"/>
    <w:rsid w:val="006D00B0"/>
    <w:rsid w:val="006D1CF3"/>
    <w:rsid w:val="006D3DFC"/>
    <w:rsid w:val="006E0579"/>
    <w:rsid w:val="006E151D"/>
    <w:rsid w:val="006E54D3"/>
    <w:rsid w:val="006F1EDF"/>
    <w:rsid w:val="006F2F40"/>
    <w:rsid w:val="00717237"/>
    <w:rsid w:val="00726F01"/>
    <w:rsid w:val="0072734D"/>
    <w:rsid w:val="00733E44"/>
    <w:rsid w:val="0073597F"/>
    <w:rsid w:val="007417FE"/>
    <w:rsid w:val="0075382D"/>
    <w:rsid w:val="007541CD"/>
    <w:rsid w:val="00755F39"/>
    <w:rsid w:val="0075625D"/>
    <w:rsid w:val="00761246"/>
    <w:rsid w:val="00762C8B"/>
    <w:rsid w:val="00766D19"/>
    <w:rsid w:val="007748D4"/>
    <w:rsid w:val="00783A20"/>
    <w:rsid w:val="00790233"/>
    <w:rsid w:val="007902C8"/>
    <w:rsid w:val="007A2518"/>
    <w:rsid w:val="007A5C41"/>
    <w:rsid w:val="007B020C"/>
    <w:rsid w:val="007B523A"/>
    <w:rsid w:val="007B7434"/>
    <w:rsid w:val="007C61E6"/>
    <w:rsid w:val="007C6D55"/>
    <w:rsid w:val="007D5255"/>
    <w:rsid w:val="007D7F17"/>
    <w:rsid w:val="007E4CE7"/>
    <w:rsid w:val="007E57D1"/>
    <w:rsid w:val="007E5C3C"/>
    <w:rsid w:val="007F066A"/>
    <w:rsid w:val="007F2A46"/>
    <w:rsid w:val="007F502E"/>
    <w:rsid w:val="007F6BE6"/>
    <w:rsid w:val="00802334"/>
    <w:rsid w:val="0080248A"/>
    <w:rsid w:val="00804F58"/>
    <w:rsid w:val="008057D6"/>
    <w:rsid w:val="008073B1"/>
    <w:rsid w:val="0081284D"/>
    <w:rsid w:val="00825D54"/>
    <w:rsid w:val="0083252F"/>
    <w:rsid w:val="00832FC1"/>
    <w:rsid w:val="0083457F"/>
    <w:rsid w:val="00844BF4"/>
    <w:rsid w:val="00847E02"/>
    <w:rsid w:val="008502E0"/>
    <w:rsid w:val="0085463C"/>
    <w:rsid w:val="008559F3"/>
    <w:rsid w:val="00856CA3"/>
    <w:rsid w:val="00860191"/>
    <w:rsid w:val="00862E2B"/>
    <w:rsid w:val="00865BC1"/>
    <w:rsid w:val="008706C2"/>
    <w:rsid w:val="0087496A"/>
    <w:rsid w:val="00881457"/>
    <w:rsid w:val="00885A4E"/>
    <w:rsid w:val="00887952"/>
    <w:rsid w:val="00890EEE"/>
    <w:rsid w:val="0089316E"/>
    <w:rsid w:val="00896572"/>
    <w:rsid w:val="008A4CF6"/>
    <w:rsid w:val="008A7986"/>
    <w:rsid w:val="008B584B"/>
    <w:rsid w:val="008B6F21"/>
    <w:rsid w:val="008C0D3C"/>
    <w:rsid w:val="008C1BBD"/>
    <w:rsid w:val="008C23CF"/>
    <w:rsid w:val="008C6AE3"/>
    <w:rsid w:val="008D625D"/>
    <w:rsid w:val="008D7168"/>
    <w:rsid w:val="008E3DE9"/>
    <w:rsid w:val="008E4CF3"/>
    <w:rsid w:val="008F1708"/>
    <w:rsid w:val="00903F86"/>
    <w:rsid w:val="009107ED"/>
    <w:rsid w:val="009138BF"/>
    <w:rsid w:val="0093594A"/>
    <w:rsid w:val="0093679E"/>
    <w:rsid w:val="00936803"/>
    <w:rsid w:val="00941C51"/>
    <w:rsid w:val="00944629"/>
    <w:rsid w:val="00944865"/>
    <w:rsid w:val="00953037"/>
    <w:rsid w:val="00962DCD"/>
    <w:rsid w:val="00965C31"/>
    <w:rsid w:val="00967F9E"/>
    <w:rsid w:val="009739C8"/>
    <w:rsid w:val="00977B89"/>
    <w:rsid w:val="00980FFF"/>
    <w:rsid w:val="00981775"/>
    <w:rsid w:val="00982157"/>
    <w:rsid w:val="009850AC"/>
    <w:rsid w:val="00994EB7"/>
    <w:rsid w:val="009A2577"/>
    <w:rsid w:val="009A283D"/>
    <w:rsid w:val="009B1280"/>
    <w:rsid w:val="009B3039"/>
    <w:rsid w:val="009B5905"/>
    <w:rsid w:val="009C2DB5"/>
    <w:rsid w:val="009C3354"/>
    <w:rsid w:val="009C4BE1"/>
    <w:rsid w:val="009C4D10"/>
    <w:rsid w:val="009C5B0E"/>
    <w:rsid w:val="009C6B81"/>
    <w:rsid w:val="009C74D9"/>
    <w:rsid w:val="009D448B"/>
    <w:rsid w:val="009D55A1"/>
    <w:rsid w:val="009E497D"/>
    <w:rsid w:val="009F0896"/>
    <w:rsid w:val="009F36CD"/>
    <w:rsid w:val="00A119B4"/>
    <w:rsid w:val="00A170A2"/>
    <w:rsid w:val="00A25BAF"/>
    <w:rsid w:val="00A30951"/>
    <w:rsid w:val="00A52883"/>
    <w:rsid w:val="00A534B8"/>
    <w:rsid w:val="00A54063"/>
    <w:rsid w:val="00A5409F"/>
    <w:rsid w:val="00A57460"/>
    <w:rsid w:val="00A577A0"/>
    <w:rsid w:val="00A63054"/>
    <w:rsid w:val="00A632A4"/>
    <w:rsid w:val="00A71BA7"/>
    <w:rsid w:val="00A72465"/>
    <w:rsid w:val="00A81AFD"/>
    <w:rsid w:val="00A82179"/>
    <w:rsid w:val="00A860F6"/>
    <w:rsid w:val="00AB099B"/>
    <w:rsid w:val="00AB634D"/>
    <w:rsid w:val="00AC6F87"/>
    <w:rsid w:val="00AE2C5A"/>
    <w:rsid w:val="00AF74F0"/>
    <w:rsid w:val="00B011DE"/>
    <w:rsid w:val="00B020AC"/>
    <w:rsid w:val="00B03212"/>
    <w:rsid w:val="00B039F3"/>
    <w:rsid w:val="00B17C04"/>
    <w:rsid w:val="00B2036D"/>
    <w:rsid w:val="00B24D19"/>
    <w:rsid w:val="00B26C50"/>
    <w:rsid w:val="00B3411C"/>
    <w:rsid w:val="00B3525C"/>
    <w:rsid w:val="00B4033A"/>
    <w:rsid w:val="00B46033"/>
    <w:rsid w:val="00B531B7"/>
    <w:rsid w:val="00B53FCE"/>
    <w:rsid w:val="00B57F2E"/>
    <w:rsid w:val="00B60FBD"/>
    <w:rsid w:val="00B65452"/>
    <w:rsid w:val="00B666FF"/>
    <w:rsid w:val="00B7119E"/>
    <w:rsid w:val="00B72931"/>
    <w:rsid w:val="00B76E5E"/>
    <w:rsid w:val="00B80AAD"/>
    <w:rsid w:val="00B820B6"/>
    <w:rsid w:val="00B84546"/>
    <w:rsid w:val="00BA1A9B"/>
    <w:rsid w:val="00BA6009"/>
    <w:rsid w:val="00BA7230"/>
    <w:rsid w:val="00BA7AAB"/>
    <w:rsid w:val="00BB0A8B"/>
    <w:rsid w:val="00BB5704"/>
    <w:rsid w:val="00BC2871"/>
    <w:rsid w:val="00BC47CC"/>
    <w:rsid w:val="00BD2767"/>
    <w:rsid w:val="00BD5C95"/>
    <w:rsid w:val="00BE3E4A"/>
    <w:rsid w:val="00BE59FF"/>
    <w:rsid w:val="00BF264E"/>
    <w:rsid w:val="00BF35D4"/>
    <w:rsid w:val="00BF732E"/>
    <w:rsid w:val="00BF76C1"/>
    <w:rsid w:val="00C0226F"/>
    <w:rsid w:val="00C11527"/>
    <w:rsid w:val="00C1157E"/>
    <w:rsid w:val="00C2401D"/>
    <w:rsid w:val="00C308BB"/>
    <w:rsid w:val="00C3481B"/>
    <w:rsid w:val="00C436AB"/>
    <w:rsid w:val="00C462D6"/>
    <w:rsid w:val="00C46762"/>
    <w:rsid w:val="00C57987"/>
    <w:rsid w:val="00C61AC5"/>
    <w:rsid w:val="00C62B29"/>
    <w:rsid w:val="00C64661"/>
    <w:rsid w:val="00C6532C"/>
    <w:rsid w:val="00C66000"/>
    <w:rsid w:val="00C664FC"/>
    <w:rsid w:val="00C707C6"/>
    <w:rsid w:val="00C72713"/>
    <w:rsid w:val="00C77294"/>
    <w:rsid w:val="00C94081"/>
    <w:rsid w:val="00C94614"/>
    <w:rsid w:val="00CA0226"/>
    <w:rsid w:val="00CA70FF"/>
    <w:rsid w:val="00CB2145"/>
    <w:rsid w:val="00CB3B43"/>
    <w:rsid w:val="00CB66B0"/>
    <w:rsid w:val="00CD3FB9"/>
    <w:rsid w:val="00CD6723"/>
    <w:rsid w:val="00CD7F72"/>
    <w:rsid w:val="00CE1C1F"/>
    <w:rsid w:val="00CE5951"/>
    <w:rsid w:val="00CE6147"/>
    <w:rsid w:val="00CF6F74"/>
    <w:rsid w:val="00CF73E9"/>
    <w:rsid w:val="00D03278"/>
    <w:rsid w:val="00D10516"/>
    <w:rsid w:val="00D11689"/>
    <w:rsid w:val="00D136E3"/>
    <w:rsid w:val="00D15A52"/>
    <w:rsid w:val="00D208BC"/>
    <w:rsid w:val="00D31E35"/>
    <w:rsid w:val="00D34846"/>
    <w:rsid w:val="00D4458F"/>
    <w:rsid w:val="00D507E2"/>
    <w:rsid w:val="00D5092B"/>
    <w:rsid w:val="00D534B3"/>
    <w:rsid w:val="00D5455C"/>
    <w:rsid w:val="00D617BF"/>
    <w:rsid w:val="00D61CE0"/>
    <w:rsid w:val="00D678DB"/>
    <w:rsid w:val="00D75169"/>
    <w:rsid w:val="00D76154"/>
    <w:rsid w:val="00D761C5"/>
    <w:rsid w:val="00D77790"/>
    <w:rsid w:val="00DA0F11"/>
    <w:rsid w:val="00DA3E01"/>
    <w:rsid w:val="00DB16E8"/>
    <w:rsid w:val="00DB6FB8"/>
    <w:rsid w:val="00DC2708"/>
    <w:rsid w:val="00DC4F52"/>
    <w:rsid w:val="00DC74E1"/>
    <w:rsid w:val="00DD0C21"/>
    <w:rsid w:val="00DD2F4E"/>
    <w:rsid w:val="00DD6B75"/>
    <w:rsid w:val="00DE07A5"/>
    <w:rsid w:val="00DE0C35"/>
    <w:rsid w:val="00DE2CE3"/>
    <w:rsid w:val="00DF2035"/>
    <w:rsid w:val="00DF4E1D"/>
    <w:rsid w:val="00DF5388"/>
    <w:rsid w:val="00E0158A"/>
    <w:rsid w:val="00E04DAF"/>
    <w:rsid w:val="00E112C7"/>
    <w:rsid w:val="00E11FA0"/>
    <w:rsid w:val="00E1389A"/>
    <w:rsid w:val="00E15BE9"/>
    <w:rsid w:val="00E258F6"/>
    <w:rsid w:val="00E31B60"/>
    <w:rsid w:val="00E344BA"/>
    <w:rsid w:val="00E40092"/>
    <w:rsid w:val="00E4272D"/>
    <w:rsid w:val="00E46220"/>
    <w:rsid w:val="00E5058E"/>
    <w:rsid w:val="00E51733"/>
    <w:rsid w:val="00E56264"/>
    <w:rsid w:val="00E604B6"/>
    <w:rsid w:val="00E61638"/>
    <w:rsid w:val="00E66CA0"/>
    <w:rsid w:val="00E67433"/>
    <w:rsid w:val="00E7208F"/>
    <w:rsid w:val="00E74B8C"/>
    <w:rsid w:val="00E75657"/>
    <w:rsid w:val="00E80FE6"/>
    <w:rsid w:val="00E836F5"/>
    <w:rsid w:val="00E87E4C"/>
    <w:rsid w:val="00E915B8"/>
    <w:rsid w:val="00E9584B"/>
    <w:rsid w:val="00EA0320"/>
    <w:rsid w:val="00EA670A"/>
    <w:rsid w:val="00EB0157"/>
    <w:rsid w:val="00EB4FB8"/>
    <w:rsid w:val="00EC503F"/>
    <w:rsid w:val="00ED0929"/>
    <w:rsid w:val="00ED3BEF"/>
    <w:rsid w:val="00ED4BFA"/>
    <w:rsid w:val="00EE2748"/>
    <w:rsid w:val="00EE31E9"/>
    <w:rsid w:val="00EE55AA"/>
    <w:rsid w:val="00F1065A"/>
    <w:rsid w:val="00F1211B"/>
    <w:rsid w:val="00F12BF7"/>
    <w:rsid w:val="00F14D7F"/>
    <w:rsid w:val="00F170A2"/>
    <w:rsid w:val="00F20AC8"/>
    <w:rsid w:val="00F33F73"/>
    <w:rsid w:val="00F3454B"/>
    <w:rsid w:val="00F357AD"/>
    <w:rsid w:val="00F378F3"/>
    <w:rsid w:val="00F476C9"/>
    <w:rsid w:val="00F522E3"/>
    <w:rsid w:val="00F55C4B"/>
    <w:rsid w:val="00F55D6C"/>
    <w:rsid w:val="00F66145"/>
    <w:rsid w:val="00F66EDF"/>
    <w:rsid w:val="00F67719"/>
    <w:rsid w:val="00F71712"/>
    <w:rsid w:val="00F736E1"/>
    <w:rsid w:val="00F73CDD"/>
    <w:rsid w:val="00F81980"/>
    <w:rsid w:val="00F83200"/>
    <w:rsid w:val="00FA0557"/>
    <w:rsid w:val="00FA0EE1"/>
    <w:rsid w:val="00FA3555"/>
    <w:rsid w:val="00FB60DE"/>
    <w:rsid w:val="00FD0A93"/>
    <w:rsid w:val="00FE5E0D"/>
    <w:rsid w:val="00FE6F20"/>
    <w:rsid w:val="03D559FC"/>
    <w:rsid w:val="04C7D3FE"/>
    <w:rsid w:val="06745DF7"/>
    <w:rsid w:val="06FAD7CB"/>
    <w:rsid w:val="09BC9E54"/>
    <w:rsid w:val="11A86014"/>
    <w:rsid w:val="1516685A"/>
    <w:rsid w:val="18067FB4"/>
    <w:rsid w:val="1AFAEF06"/>
    <w:rsid w:val="1F541015"/>
    <w:rsid w:val="1FEC190B"/>
    <w:rsid w:val="20CC85AD"/>
    <w:rsid w:val="2297DF50"/>
    <w:rsid w:val="233F8AB4"/>
    <w:rsid w:val="27246F79"/>
    <w:rsid w:val="2D560D7D"/>
    <w:rsid w:val="2E351B8A"/>
    <w:rsid w:val="2EF4D78D"/>
    <w:rsid w:val="333B04F8"/>
    <w:rsid w:val="388C4B72"/>
    <w:rsid w:val="39F0DF93"/>
    <w:rsid w:val="3B69C85B"/>
    <w:rsid w:val="3FAA38DB"/>
    <w:rsid w:val="3FCF6D21"/>
    <w:rsid w:val="42E4791B"/>
    <w:rsid w:val="452D5E39"/>
    <w:rsid w:val="481744FF"/>
    <w:rsid w:val="48412A11"/>
    <w:rsid w:val="493AF0D6"/>
    <w:rsid w:val="49C53964"/>
    <w:rsid w:val="4A64DC56"/>
    <w:rsid w:val="4EBFEAD8"/>
    <w:rsid w:val="4F72266B"/>
    <w:rsid w:val="4FD2C99C"/>
    <w:rsid w:val="511AB5FB"/>
    <w:rsid w:val="55191661"/>
    <w:rsid w:val="5604E5BB"/>
    <w:rsid w:val="56BE9054"/>
    <w:rsid w:val="58AC868C"/>
    <w:rsid w:val="5B1E1628"/>
    <w:rsid w:val="5C815780"/>
    <w:rsid w:val="5D3A819A"/>
    <w:rsid w:val="630AE40E"/>
    <w:rsid w:val="63FF6E94"/>
    <w:rsid w:val="644F3958"/>
    <w:rsid w:val="6CF3F0C8"/>
    <w:rsid w:val="6E800ED3"/>
    <w:rsid w:val="71F56204"/>
    <w:rsid w:val="73332025"/>
    <w:rsid w:val="74106BD1"/>
    <w:rsid w:val="7C6D0542"/>
    <w:rsid w:val="7C7FF4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6C51B8"/>
  <w15:chartTrackingRefBased/>
  <w15:docId w15:val="{1179C5AC-0415-4D30-84C2-4FC49924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character" w:styleId="SubtleReference">
    <w:name w:val="Subtle Reference"/>
    <w:aliases w:val="ŠSubtle Reference"/>
    <w:uiPriority w:val="31"/>
    <w:qFormat/>
    <w:rsid w:val="00CA70FF"/>
    <w:rPr>
      <w:rFonts w:ascii="Arial" w:hAnsi="Arial"/>
      <w:sz w:val="22"/>
    </w:rPr>
  </w:style>
  <w:style w:type="paragraph" w:customStyle="1" w:styleId="TableParagraph">
    <w:name w:val="Table Paragraph"/>
    <w:basedOn w:val="Normal"/>
    <w:uiPriority w:val="15"/>
    <w:qFormat/>
    <w:rsid w:val="00F55C4B"/>
    <w:pPr>
      <w:suppressAutoHyphens w:val="0"/>
      <w:spacing w:before="40" w:after="0" w:line="276" w:lineRule="auto"/>
      <w:ind w:left="40" w:right="40"/>
    </w:pPr>
    <w:rPr>
      <w:rFonts w:asciiTheme="minorHAnsi" w:eastAsiaTheme="minorEastAsia" w:hAnsiTheme="minorHAnsi" w:cstheme="minorBidi"/>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49867">
      <w:bodyDiv w:val="1"/>
      <w:marLeft w:val="0"/>
      <w:marRight w:val="0"/>
      <w:marTop w:val="0"/>
      <w:marBottom w:val="0"/>
      <w:divBdr>
        <w:top w:val="none" w:sz="0" w:space="0" w:color="auto"/>
        <w:left w:val="none" w:sz="0" w:space="0" w:color="auto"/>
        <w:bottom w:val="none" w:sz="0" w:space="0" w:color="auto"/>
        <w:right w:val="none" w:sz="0" w:space="0" w:color="auto"/>
      </w:divBdr>
    </w:div>
    <w:div w:id="936014906">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hyperlink" Target="https://education.nsw.gov.au/policy-library/policies/pd-2016-0468" TargetMode="External"/><Relationship Id="rId26" Type="http://schemas.openxmlformats.org/officeDocument/2006/relationships/header" Target="header1.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inclusion-and-differentiation-advice-7-10"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www.educationstandards.nsw.edu.au/wps/portal/nesa/k-10/understanding-the-curriculum/programming/advice-on-scope-and-sequences"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 TargetMode="External"/><Relationship Id="rId20" Type="http://schemas.openxmlformats.org/officeDocument/2006/relationships/hyperlink" Target="https://education.nsw.gov.au/policy-library/policies/pd-2016-046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 TargetMode="External"/><Relationship Id="rId24" Type="http://schemas.openxmlformats.org/officeDocument/2006/relationships/hyperlink" Target="https://curriculum.nsw.edu.au/"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assessment-task-advice-7-10" TargetMode="External"/><Relationship Id="rId23" Type="http://schemas.openxmlformats.org/officeDocument/2006/relationships/hyperlink" Target="https://educationstandards.nsw.edu.au/"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hyperlink" Target="mailto:mathematics7-12@det.nsw.edu.au" TargetMode="External"/><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classroom-assessment-advice-7-10-"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8" Type="http://schemas.openxmlformats.org/officeDocument/2006/relationships/hyperlink" Target="https://educationstandards.nsw.edu.au/wps/portal/nesa/k-10/understanding-the-curriculum/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F511A2D1-3ED6-4F8A-BA56-0511A543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1177</Words>
  <Characters>6974</Characters>
  <Application>Microsoft Office Word</Application>
  <DocSecurity>0</DocSecurity>
  <Lines>155</Lines>
  <Paragraphs>90</Paragraphs>
  <ScaleCrop>false</ScaleCrop>
  <HeadingPairs>
    <vt:vector size="2" baseType="variant">
      <vt:variant>
        <vt:lpstr>Title</vt:lpstr>
      </vt:variant>
      <vt:variant>
        <vt:i4>1</vt:i4>
      </vt:variant>
    </vt:vector>
  </HeadingPairs>
  <TitlesOfParts>
    <vt:vector size="1" baseType="lpstr">
      <vt:lpstr>Mathematics Extension 2 Stage 6 sample scope and sequence</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Mathematics Extension 2, Stage 6</dc:title>
  <dc:subject/>
  <dc:creator>NSW Department of Education</dc:creator>
  <cp:keywords/>
  <dc:description/>
  <dcterms:created xsi:type="dcterms:W3CDTF">2025-03-13T23:37:00Z</dcterms:created>
  <dcterms:modified xsi:type="dcterms:W3CDTF">2025-03-27T01:47:00Z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2025-03-13T23:37:49Z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43f86452-4929-4756-9127-9ad60f21b42c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