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E641" w14:textId="437EB82B" w:rsidR="00672541" w:rsidRDefault="007172AD" w:rsidP="003157B7">
      <w:pPr>
        <w:pStyle w:val="Title"/>
      </w:pPr>
      <w:r>
        <w:t xml:space="preserve">Animal </w:t>
      </w:r>
      <w:r w:rsidR="00B72BCA">
        <w:t>s</w:t>
      </w:r>
      <w:r>
        <w:t>tudies</w:t>
      </w:r>
      <w:r w:rsidR="00E56427">
        <w:t xml:space="preserve"> </w:t>
      </w:r>
      <w:r w:rsidR="003157B7">
        <w:t xml:space="preserve">– </w:t>
      </w:r>
      <w:r w:rsidR="00D45B16">
        <w:t xml:space="preserve">equine </w:t>
      </w:r>
      <w:r w:rsidR="00E203AF">
        <w:t>s</w:t>
      </w:r>
      <w:r w:rsidR="00F938A5">
        <w:t>tudies</w:t>
      </w:r>
    </w:p>
    <w:p w14:paraId="50008451" w14:textId="6F6C185E" w:rsidR="0076162D" w:rsidRDefault="007172AD" w:rsidP="00672541">
      <w:pPr>
        <w:pStyle w:val="Subtitle0"/>
      </w:pPr>
      <w:r>
        <w:t xml:space="preserve">Core </w:t>
      </w:r>
      <w:r w:rsidR="00F938A5">
        <w:t>1</w:t>
      </w:r>
      <w:r w:rsidR="0026797C">
        <w:t xml:space="preserve"> –</w:t>
      </w:r>
      <w:r w:rsidR="00F938A5">
        <w:t xml:space="preserve"> </w:t>
      </w:r>
      <w:r w:rsidR="00672541">
        <w:t xml:space="preserve">the </w:t>
      </w:r>
      <w:r w:rsidR="00574C51">
        <w:t>i</w:t>
      </w:r>
      <w:r w:rsidR="00F938A5">
        <w:t>ndustry</w:t>
      </w:r>
    </w:p>
    <w:p w14:paraId="346EFFFC" w14:textId="217C45D6" w:rsidR="0090586A" w:rsidRDefault="0090586A" w:rsidP="0090586A">
      <w:r>
        <w:br w:type="page"/>
      </w:r>
    </w:p>
    <w:sdt>
      <w:sdtPr>
        <w:rPr>
          <w:rFonts w:eastAsiaTheme="minorHAnsi"/>
          <w:b/>
          <w:bCs w:val="0"/>
          <w:color w:val="auto"/>
          <w:sz w:val="24"/>
          <w:szCs w:val="24"/>
        </w:rPr>
        <w:id w:val="1184638918"/>
        <w:docPartObj>
          <w:docPartGallery w:val="Table of Contents"/>
          <w:docPartUnique/>
        </w:docPartObj>
      </w:sdtPr>
      <w:sdtEndPr>
        <w:rPr>
          <w:b w:val="0"/>
          <w:noProof/>
          <w:sz w:val="22"/>
        </w:rPr>
      </w:sdtEndPr>
      <w:sdtContent>
        <w:p w14:paraId="5704AA55" w14:textId="77777777" w:rsidR="00C755F1" w:rsidRDefault="00C755F1">
          <w:pPr>
            <w:pStyle w:val="TOCHeading"/>
          </w:pPr>
          <w:r>
            <w:t>Contents</w:t>
          </w:r>
        </w:p>
        <w:p w14:paraId="01CC26D3" w14:textId="48A403EE" w:rsidR="002F0E6E" w:rsidRDefault="002F0E6E">
          <w:pPr>
            <w:pStyle w:val="TOC1"/>
            <w:rPr>
              <w:rFonts w:asciiTheme="minorHAnsi" w:eastAsiaTheme="minorEastAsia" w:hAnsiTheme="minorHAnsi" w:cstheme="minorBidi"/>
              <w:b w:val="0"/>
              <w:kern w:val="2"/>
              <w:szCs w:val="20"/>
              <w:lang w:eastAsia="en-AU" w:bidi="hi-IN"/>
              <w14:ligatures w14:val="standardContextual"/>
            </w:rPr>
          </w:pPr>
          <w:r>
            <w:fldChar w:fldCharType="begin"/>
          </w:r>
          <w:r>
            <w:instrText xml:space="preserve"> TOC \o "1-3" \h \z </w:instrText>
          </w:r>
          <w:r>
            <w:fldChar w:fldCharType="separate"/>
          </w:r>
          <w:hyperlink w:anchor="_Toc152581500" w:history="1">
            <w:r w:rsidRPr="00FF5D55">
              <w:rPr>
                <w:rStyle w:val="Hyperlink"/>
              </w:rPr>
              <w:t>Core 1 – the industry</w:t>
            </w:r>
            <w:r>
              <w:rPr>
                <w:webHidden/>
              </w:rPr>
              <w:tab/>
            </w:r>
            <w:r>
              <w:rPr>
                <w:webHidden/>
              </w:rPr>
              <w:fldChar w:fldCharType="begin"/>
            </w:r>
            <w:r>
              <w:rPr>
                <w:webHidden/>
              </w:rPr>
              <w:instrText xml:space="preserve"> PAGEREF _Toc152581500 \h </w:instrText>
            </w:r>
            <w:r>
              <w:rPr>
                <w:webHidden/>
              </w:rPr>
            </w:r>
            <w:r>
              <w:rPr>
                <w:webHidden/>
              </w:rPr>
              <w:fldChar w:fldCharType="separate"/>
            </w:r>
            <w:r>
              <w:rPr>
                <w:webHidden/>
              </w:rPr>
              <w:t>2</w:t>
            </w:r>
            <w:r>
              <w:rPr>
                <w:webHidden/>
              </w:rPr>
              <w:fldChar w:fldCharType="end"/>
            </w:r>
          </w:hyperlink>
        </w:p>
        <w:p w14:paraId="0FFA2813" w14:textId="2DE4C065" w:rsidR="002F0E6E" w:rsidRDefault="00000000">
          <w:pPr>
            <w:pStyle w:val="TOC2"/>
            <w:rPr>
              <w:rFonts w:asciiTheme="minorHAnsi" w:eastAsiaTheme="minorEastAsia" w:hAnsiTheme="minorHAnsi" w:cstheme="minorBidi"/>
              <w:kern w:val="2"/>
              <w:szCs w:val="20"/>
              <w:lang w:eastAsia="en-AU" w:bidi="hi-IN"/>
              <w14:ligatures w14:val="standardContextual"/>
            </w:rPr>
          </w:pPr>
          <w:hyperlink w:anchor="_Toc152581501" w:history="1">
            <w:r w:rsidR="002F0E6E" w:rsidRPr="00FF5D55">
              <w:rPr>
                <w:rStyle w:val="Hyperlink"/>
              </w:rPr>
              <w:t>Duration of learning</w:t>
            </w:r>
            <w:r w:rsidR="002F0E6E">
              <w:rPr>
                <w:webHidden/>
              </w:rPr>
              <w:tab/>
            </w:r>
            <w:r w:rsidR="002F0E6E">
              <w:rPr>
                <w:webHidden/>
              </w:rPr>
              <w:fldChar w:fldCharType="begin"/>
            </w:r>
            <w:r w:rsidR="002F0E6E">
              <w:rPr>
                <w:webHidden/>
              </w:rPr>
              <w:instrText xml:space="preserve"> PAGEREF _Toc152581501 \h </w:instrText>
            </w:r>
            <w:r w:rsidR="002F0E6E">
              <w:rPr>
                <w:webHidden/>
              </w:rPr>
            </w:r>
            <w:r w:rsidR="002F0E6E">
              <w:rPr>
                <w:webHidden/>
              </w:rPr>
              <w:fldChar w:fldCharType="separate"/>
            </w:r>
            <w:r w:rsidR="002F0E6E">
              <w:rPr>
                <w:webHidden/>
              </w:rPr>
              <w:t>2</w:t>
            </w:r>
            <w:r w:rsidR="002F0E6E">
              <w:rPr>
                <w:webHidden/>
              </w:rPr>
              <w:fldChar w:fldCharType="end"/>
            </w:r>
          </w:hyperlink>
        </w:p>
        <w:p w14:paraId="0AE015F5" w14:textId="2209F5E9" w:rsidR="002F0E6E" w:rsidRDefault="00000000">
          <w:pPr>
            <w:pStyle w:val="TOC2"/>
            <w:rPr>
              <w:rFonts w:asciiTheme="minorHAnsi" w:eastAsiaTheme="minorEastAsia" w:hAnsiTheme="minorHAnsi" w:cstheme="minorBidi"/>
              <w:kern w:val="2"/>
              <w:szCs w:val="20"/>
              <w:lang w:eastAsia="en-AU" w:bidi="hi-IN"/>
              <w14:ligatures w14:val="standardContextual"/>
            </w:rPr>
          </w:pPr>
          <w:hyperlink w:anchor="_Toc152581502" w:history="1">
            <w:r w:rsidR="002F0E6E" w:rsidRPr="00FF5D55">
              <w:rPr>
                <w:rStyle w:val="Hyperlink"/>
              </w:rPr>
              <w:t>Outcomes</w:t>
            </w:r>
            <w:r w:rsidR="002F0E6E">
              <w:rPr>
                <w:webHidden/>
              </w:rPr>
              <w:tab/>
            </w:r>
            <w:r w:rsidR="002F0E6E">
              <w:rPr>
                <w:webHidden/>
              </w:rPr>
              <w:fldChar w:fldCharType="begin"/>
            </w:r>
            <w:r w:rsidR="002F0E6E">
              <w:rPr>
                <w:webHidden/>
              </w:rPr>
              <w:instrText xml:space="preserve"> PAGEREF _Toc152581502 \h </w:instrText>
            </w:r>
            <w:r w:rsidR="002F0E6E">
              <w:rPr>
                <w:webHidden/>
              </w:rPr>
            </w:r>
            <w:r w:rsidR="002F0E6E">
              <w:rPr>
                <w:webHidden/>
              </w:rPr>
              <w:fldChar w:fldCharType="separate"/>
            </w:r>
            <w:r w:rsidR="002F0E6E">
              <w:rPr>
                <w:webHidden/>
              </w:rPr>
              <w:t>2</w:t>
            </w:r>
            <w:r w:rsidR="002F0E6E">
              <w:rPr>
                <w:webHidden/>
              </w:rPr>
              <w:fldChar w:fldCharType="end"/>
            </w:r>
          </w:hyperlink>
        </w:p>
        <w:p w14:paraId="51B71332" w14:textId="59A84582" w:rsidR="002F0E6E" w:rsidRDefault="00000000">
          <w:pPr>
            <w:pStyle w:val="TOC2"/>
            <w:rPr>
              <w:rFonts w:asciiTheme="minorHAnsi" w:eastAsiaTheme="minorEastAsia" w:hAnsiTheme="minorHAnsi" w:cstheme="minorBidi"/>
              <w:kern w:val="2"/>
              <w:szCs w:val="20"/>
              <w:lang w:eastAsia="en-AU" w:bidi="hi-IN"/>
              <w14:ligatures w14:val="standardContextual"/>
            </w:rPr>
          </w:pPr>
          <w:hyperlink w:anchor="_Toc152581503" w:history="1">
            <w:r w:rsidR="002F0E6E" w:rsidRPr="00FF5D55">
              <w:rPr>
                <w:rStyle w:val="Hyperlink"/>
              </w:rPr>
              <w:t>Rationale</w:t>
            </w:r>
            <w:r w:rsidR="002F0E6E">
              <w:rPr>
                <w:webHidden/>
              </w:rPr>
              <w:tab/>
            </w:r>
            <w:r w:rsidR="002F0E6E">
              <w:rPr>
                <w:webHidden/>
              </w:rPr>
              <w:fldChar w:fldCharType="begin"/>
            </w:r>
            <w:r w:rsidR="002F0E6E">
              <w:rPr>
                <w:webHidden/>
              </w:rPr>
              <w:instrText xml:space="preserve"> PAGEREF _Toc152581503 \h </w:instrText>
            </w:r>
            <w:r w:rsidR="002F0E6E">
              <w:rPr>
                <w:webHidden/>
              </w:rPr>
            </w:r>
            <w:r w:rsidR="002F0E6E">
              <w:rPr>
                <w:webHidden/>
              </w:rPr>
              <w:fldChar w:fldCharType="separate"/>
            </w:r>
            <w:r w:rsidR="002F0E6E">
              <w:rPr>
                <w:webHidden/>
              </w:rPr>
              <w:t>3</w:t>
            </w:r>
            <w:r w:rsidR="002F0E6E">
              <w:rPr>
                <w:webHidden/>
              </w:rPr>
              <w:fldChar w:fldCharType="end"/>
            </w:r>
          </w:hyperlink>
        </w:p>
        <w:p w14:paraId="77685208" w14:textId="30EAB17D" w:rsidR="002F0E6E" w:rsidRDefault="00000000">
          <w:pPr>
            <w:pStyle w:val="TOC2"/>
            <w:rPr>
              <w:rFonts w:asciiTheme="minorHAnsi" w:eastAsiaTheme="minorEastAsia" w:hAnsiTheme="minorHAnsi" w:cstheme="minorBidi"/>
              <w:kern w:val="2"/>
              <w:szCs w:val="20"/>
              <w:lang w:eastAsia="en-AU" w:bidi="hi-IN"/>
              <w14:ligatures w14:val="standardContextual"/>
            </w:rPr>
          </w:pPr>
          <w:hyperlink w:anchor="_Toc152581504" w:history="1">
            <w:r w:rsidR="002F0E6E" w:rsidRPr="00FF5D55">
              <w:rPr>
                <w:rStyle w:val="Hyperlink"/>
              </w:rPr>
              <w:t>Aim</w:t>
            </w:r>
            <w:r w:rsidR="002F0E6E">
              <w:rPr>
                <w:webHidden/>
              </w:rPr>
              <w:tab/>
            </w:r>
            <w:r w:rsidR="002F0E6E">
              <w:rPr>
                <w:webHidden/>
              </w:rPr>
              <w:fldChar w:fldCharType="begin"/>
            </w:r>
            <w:r w:rsidR="002F0E6E">
              <w:rPr>
                <w:webHidden/>
              </w:rPr>
              <w:instrText xml:space="preserve"> PAGEREF _Toc152581504 \h </w:instrText>
            </w:r>
            <w:r w:rsidR="002F0E6E">
              <w:rPr>
                <w:webHidden/>
              </w:rPr>
            </w:r>
            <w:r w:rsidR="002F0E6E">
              <w:rPr>
                <w:webHidden/>
              </w:rPr>
              <w:fldChar w:fldCharType="separate"/>
            </w:r>
            <w:r w:rsidR="002F0E6E">
              <w:rPr>
                <w:webHidden/>
              </w:rPr>
              <w:t>3</w:t>
            </w:r>
            <w:r w:rsidR="002F0E6E">
              <w:rPr>
                <w:webHidden/>
              </w:rPr>
              <w:fldChar w:fldCharType="end"/>
            </w:r>
          </w:hyperlink>
        </w:p>
        <w:p w14:paraId="781FFA2F" w14:textId="4D987952" w:rsidR="002F0E6E" w:rsidRDefault="00000000">
          <w:pPr>
            <w:pStyle w:val="TOC2"/>
            <w:rPr>
              <w:rFonts w:asciiTheme="minorHAnsi" w:eastAsiaTheme="minorEastAsia" w:hAnsiTheme="minorHAnsi" w:cstheme="minorBidi"/>
              <w:kern w:val="2"/>
              <w:szCs w:val="20"/>
              <w:lang w:eastAsia="en-AU" w:bidi="hi-IN"/>
              <w14:ligatures w14:val="standardContextual"/>
            </w:rPr>
          </w:pPr>
          <w:hyperlink w:anchor="_Toc152581505" w:history="1">
            <w:r w:rsidR="002F0E6E" w:rsidRPr="00FF5D55">
              <w:rPr>
                <w:rStyle w:val="Hyperlink"/>
              </w:rPr>
              <w:t>Purpose and audience</w:t>
            </w:r>
            <w:r w:rsidR="002F0E6E">
              <w:rPr>
                <w:webHidden/>
              </w:rPr>
              <w:tab/>
            </w:r>
            <w:r w:rsidR="002F0E6E">
              <w:rPr>
                <w:webHidden/>
              </w:rPr>
              <w:fldChar w:fldCharType="begin"/>
            </w:r>
            <w:r w:rsidR="002F0E6E">
              <w:rPr>
                <w:webHidden/>
              </w:rPr>
              <w:instrText xml:space="preserve"> PAGEREF _Toc152581505 \h </w:instrText>
            </w:r>
            <w:r w:rsidR="002F0E6E">
              <w:rPr>
                <w:webHidden/>
              </w:rPr>
            </w:r>
            <w:r w:rsidR="002F0E6E">
              <w:rPr>
                <w:webHidden/>
              </w:rPr>
              <w:fldChar w:fldCharType="separate"/>
            </w:r>
            <w:r w:rsidR="002F0E6E">
              <w:rPr>
                <w:webHidden/>
              </w:rPr>
              <w:t>4</w:t>
            </w:r>
            <w:r w:rsidR="002F0E6E">
              <w:rPr>
                <w:webHidden/>
              </w:rPr>
              <w:fldChar w:fldCharType="end"/>
            </w:r>
          </w:hyperlink>
        </w:p>
        <w:p w14:paraId="7DCDD1E2" w14:textId="5F585C3F" w:rsidR="002F0E6E" w:rsidRDefault="00000000">
          <w:pPr>
            <w:pStyle w:val="TOC2"/>
            <w:rPr>
              <w:rFonts w:asciiTheme="minorHAnsi" w:eastAsiaTheme="minorEastAsia" w:hAnsiTheme="minorHAnsi" w:cstheme="minorBidi"/>
              <w:kern w:val="2"/>
              <w:szCs w:val="20"/>
              <w:lang w:eastAsia="en-AU" w:bidi="hi-IN"/>
              <w14:ligatures w14:val="standardContextual"/>
            </w:rPr>
          </w:pPr>
          <w:hyperlink w:anchor="_Toc152581506" w:history="1">
            <w:r w:rsidR="002F0E6E" w:rsidRPr="00FF5D55">
              <w:rPr>
                <w:rStyle w:val="Hyperlink"/>
              </w:rPr>
              <w:t>When and how to use this document</w:t>
            </w:r>
            <w:r w:rsidR="002F0E6E">
              <w:rPr>
                <w:webHidden/>
              </w:rPr>
              <w:tab/>
            </w:r>
            <w:r w:rsidR="002F0E6E">
              <w:rPr>
                <w:webHidden/>
              </w:rPr>
              <w:fldChar w:fldCharType="begin"/>
            </w:r>
            <w:r w:rsidR="002F0E6E">
              <w:rPr>
                <w:webHidden/>
              </w:rPr>
              <w:instrText xml:space="preserve"> PAGEREF _Toc152581506 \h </w:instrText>
            </w:r>
            <w:r w:rsidR="002F0E6E">
              <w:rPr>
                <w:webHidden/>
              </w:rPr>
            </w:r>
            <w:r w:rsidR="002F0E6E">
              <w:rPr>
                <w:webHidden/>
              </w:rPr>
              <w:fldChar w:fldCharType="separate"/>
            </w:r>
            <w:r w:rsidR="002F0E6E">
              <w:rPr>
                <w:webHidden/>
              </w:rPr>
              <w:t>4</w:t>
            </w:r>
            <w:r w:rsidR="002F0E6E">
              <w:rPr>
                <w:webHidden/>
              </w:rPr>
              <w:fldChar w:fldCharType="end"/>
            </w:r>
          </w:hyperlink>
        </w:p>
        <w:p w14:paraId="5BF9D232" w14:textId="79623F9A" w:rsidR="002F0E6E" w:rsidRDefault="00000000">
          <w:pPr>
            <w:pStyle w:val="TOC1"/>
            <w:rPr>
              <w:rFonts w:asciiTheme="minorHAnsi" w:eastAsiaTheme="minorEastAsia" w:hAnsiTheme="minorHAnsi" w:cstheme="minorBidi"/>
              <w:b w:val="0"/>
              <w:kern w:val="2"/>
              <w:szCs w:val="20"/>
              <w:lang w:eastAsia="en-AU" w:bidi="hi-IN"/>
              <w14:ligatures w14:val="standardContextual"/>
            </w:rPr>
          </w:pPr>
          <w:hyperlink w:anchor="_Toc152581507" w:history="1">
            <w:r w:rsidR="002F0E6E" w:rsidRPr="00FF5D55">
              <w:rPr>
                <w:rStyle w:val="Hyperlink"/>
              </w:rPr>
              <w:t>Learning sequences</w:t>
            </w:r>
            <w:r w:rsidR="002F0E6E">
              <w:rPr>
                <w:webHidden/>
              </w:rPr>
              <w:tab/>
            </w:r>
            <w:r w:rsidR="002F0E6E">
              <w:rPr>
                <w:webHidden/>
              </w:rPr>
              <w:fldChar w:fldCharType="begin"/>
            </w:r>
            <w:r w:rsidR="002F0E6E">
              <w:rPr>
                <w:webHidden/>
              </w:rPr>
              <w:instrText xml:space="preserve"> PAGEREF _Toc152581507 \h </w:instrText>
            </w:r>
            <w:r w:rsidR="002F0E6E">
              <w:rPr>
                <w:webHidden/>
              </w:rPr>
            </w:r>
            <w:r w:rsidR="002F0E6E">
              <w:rPr>
                <w:webHidden/>
              </w:rPr>
              <w:fldChar w:fldCharType="separate"/>
            </w:r>
            <w:r w:rsidR="002F0E6E">
              <w:rPr>
                <w:webHidden/>
              </w:rPr>
              <w:t>5</w:t>
            </w:r>
            <w:r w:rsidR="002F0E6E">
              <w:rPr>
                <w:webHidden/>
              </w:rPr>
              <w:fldChar w:fldCharType="end"/>
            </w:r>
          </w:hyperlink>
        </w:p>
        <w:p w14:paraId="1A01B530" w14:textId="40E297DD" w:rsidR="002F0E6E" w:rsidRDefault="00000000">
          <w:pPr>
            <w:pStyle w:val="TOC2"/>
            <w:rPr>
              <w:rFonts w:asciiTheme="minorHAnsi" w:eastAsiaTheme="minorEastAsia" w:hAnsiTheme="minorHAnsi" w:cstheme="minorBidi"/>
              <w:kern w:val="2"/>
              <w:szCs w:val="20"/>
              <w:lang w:eastAsia="en-AU" w:bidi="hi-IN"/>
              <w14:ligatures w14:val="standardContextual"/>
            </w:rPr>
          </w:pPr>
          <w:hyperlink w:anchor="_Toc152581508" w:history="1">
            <w:r w:rsidR="002F0E6E" w:rsidRPr="00FF5D55">
              <w:rPr>
                <w:rStyle w:val="Hyperlink"/>
              </w:rPr>
              <w:t>Weeks 1–3</w:t>
            </w:r>
            <w:r w:rsidR="002F0E6E">
              <w:rPr>
                <w:webHidden/>
              </w:rPr>
              <w:tab/>
            </w:r>
            <w:r w:rsidR="002F0E6E">
              <w:rPr>
                <w:webHidden/>
              </w:rPr>
              <w:fldChar w:fldCharType="begin"/>
            </w:r>
            <w:r w:rsidR="002F0E6E">
              <w:rPr>
                <w:webHidden/>
              </w:rPr>
              <w:instrText xml:space="preserve"> PAGEREF _Toc152581508 \h </w:instrText>
            </w:r>
            <w:r w:rsidR="002F0E6E">
              <w:rPr>
                <w:webHidden/>
              </w:rPr>
            </w:r>
            <w:r w:rsidR="002F0E6E">
              <w:rPr>
                <w:webHidden/>
              </w:rPr>
              <w:fldChar w:fldCharType="separate"/>
            </w:r>
            <w:r w:rsidR="002F0E6E">
              <w:rPr>
                <w:webHidden/>
              </w:rPr>
              <w:t>6</w:t>
            </w:r>
            <w:r w:rsidR="002F0E6E">
              <w:rPr>
                <w:webHidden/>
              </w:rPr>
              <w:fldChar w:fldCharType="end"/>
            </w:r>
          </w:hyperlink>
        </w:p>
        <w:p w14:paraId="4E90B0ED" w14:textId="6160655F" w:rsidR="002F0E6E" w:rsidRDefault="00000000">
          <w:pPr>
            <w:pStyle w:val="TOC2"/>
            <w:rPr>
              <w:rFonts w:asciiTheme="minorHAnsi" w:eastAsiaTheme="minorEastAsia" w:hAnsiTheme="minorHAnsi" w:cstheme="minorBidi"/>
              <w:kern w:val="2"/>
              <w:szCs w:val="20"/>
              <w:lang w:eastAsia="en-AU" w:bidi="hi-IN"/>
              <w14:ligatures w14:val="standardContextual"/>
            </w:rPr>
          </w:pPr>
          <w:hyperlink w:anchor="_Toc152581509" w:history="1">
            <w:r w:rsidR="002F0E6E" w:rsidRPr="00FF5D55">
              <w:rPr>
                <w:rStyle w:val="Hyperlink"/>
              </w:rPr>
              <w:t>Weeks 4 and 5</w:t>
            </w:r>
            <w:r w:rsidR="002F0E6E">
              <w:rPr>
                <w:webHidden/>
              </w:rPr>
              <w:tab/>
            </w:r>
            <w:r w:rsidR="002F0E6E">
              <w:rPr>
                <w:webHidden/>
              </w:rPr>
              <w:fldChar w:fldCharType="begin"/>
            </w:r>
            <w:r w:rsidR="002F0E6E">
              <w:rPr>
                <w:webHidden/>
              </w:rPr>
              <w:instrText xml:space="preserve"> PAGEREF _Toc152581509 \h </w:instrText>
            </w:r>
            <w:r w:rsidR="002F0E6E">
              <w:rPr>
                <w:webHidden/>
              </w:rPr>
            </w:r>
            <w:r w:rsidR="002F0E6E">
              <w:rPr>
                <w:webHidden/>
              </w:rPr>
              <w:fldChar w:fldCharType="separate"/>
            </w:r>
            <w:r w:rsidR="002F0E6E">
              <w:rPr>
                <w:webHidden/>
              </w:rPr>
              <w:t>9</w:t>
            </w:r>
            <w:r w:rsidR="002F0E6E">
              <w:rPr>
                <w:webHidden/>
              </w:rPr>
              <w:fldChar w:fldCharType="end"/>
            </w:r>
          </w:hyperlink>
        </w:p>
        <w:p w14:paraId="1FE060AC" w14:textId="22B87560" w:rsidR="002F0E6E" w:rsidRDefault="00000000">
          <w:pPr>
            <w:pStyle w:val="TOC2"/>
            <w:rPr>
              <w:rFonts w:asciiTheme="minorHAnsi" w:eastAsiaTheme="minorEastAsia" w:hAnsiTheme="minorHAnsi" w:cstheme="minorBidi"/>
              <w:kern w:val="2"/>
              <w:szCs w:val="20"/>
              <w:lang w:eastAsia="en-AU" w:bidi="hi-IN"/>
              <w14:ligatures w14:val="standardContextual"/>
            </w:rPr>
          </w:pPr>
          <w:hyperlink w:anchor="_Toc152581510" w:history="1">
            <w:r w:rsidR="002F0E6E" w:rsidRPr="00FF5D55">
              <w:rPr>
                <w:rStyle w:val="Hyperlink"/>
              </w:rPr>
              <w:t>Weeks 6–8</w:t>
            </w:r>
            <w:r w:rsidR="002F0E6E">
              <w:rPr>
                <w:webHidden/>
              </w:rPr>
              <w:tab/>
            </w:r>
            <w:r w:rsidR="002F0E6E">
              <w:rPr>
                <w:webHidden/>
              </w:rPr>
              <w:fldChar w:fldCharType="begin"/>
            </w:r>
            <w:r w:rsidR="002F0E6E">
              <w:rPr>
                <w:webHidden/>
              </w:rPr>
              <w:instrText xml:space="preserve"> PAGEREF _Toc152581510 \h </w:instrText>
            </w:r>
            <w:r w:rsidR="002F0E6E">
              <w:rPr>
                <w:webHidden/>
              </w:rPr>
            </w:r>
            <w:r w:rsidR="002F0E6E">
              <w:rPr>
                <w:webHidden/>
              </w:rPr>
              <w:fldChar w:fldCharType="separate"/>
            </w:r>
            <w:r w:rsidR="002F0E6E">
              <w:rPr>
                <w:webHidden/>
              </w:rPr>
              <w:t>13</w:t>
            </w:r>
            <w:r w:rsidR="002F0E6E">
              <w:rPr>
                <w:webHidden/>
              </w:rPr>
              <w:fldChar w:fldCharType="end"/>
            </w:r>
          </w:hyperlink>
        </w:p>
        <w:p w14:paraId="7DE96186" w14:textId="75C3776A" w:rsidR="002F0E6E" w:rsidRDefault="00000000">
          <w:pPr>
            <w:pStyle w:val="TOC1"/>
            <w:rPr>
              <w:rFonts w:asciiTheme="minorHAnsi" w:eastAsiaTheme="minorEastAsia" w:hAnsiTheme="minorHAnsi" w:cstheme="minorBidi"/>
              <w:b w:val="0"/>
              <w:kern w:val="2"/>
              <w:szCs w:val="20"/>
              <w:lang w:eastAsia="en-AU" w:bidi="hi-IN"/>
              <w14:ligatures w14:val="standardContextual"/>
            </w:rPr>
          </w:pPr>
          <w:hyperlink w:anchor="_Toc152581511" w:history="1">
            <w:r w:rsidR="002F0E6E" w:rsidRPr="00FF5D55">
              <w:rPr>
                <w:rStyle w:val="Hyperlink"/>
              </w:rPr>
              <w:t>Additional information</w:t>
            </w:r>
            <w:r w:rsidR="002F0E6E">
              <w:rPr>
                <w:webHidden/>
              </w:rPr>
              <w:tab/>
            </w:r>
            <w:r w:rsidR="002F0E6E">
              <w:rPr>
                <w:webHidden/>
              </w:rPr>
              <w:fldChar w:fldCharType="begin"/>
            </w:r>
            <w:r w:rsidR="002F0E6E">
              <w:rPr>
                <w:webHidden/>
              </w:rPr>
              <w:instrText xml:space="preserve"> PAGEREF _Toc152581511 \h </w:instrText>
            </w:r>
            <w:r w:rsidR="002F0E6E">
              <w:rPr>
                <w:webHidden/>
              </w:rPr>
            </w:r>
            <w:r w:rsidR="002F0E6E">
              <w:rPr>
                <w:webHidden/>
              </w:rPr>
              <w:fldChar w:fldCharType="separate"/>
            </w:r>
            <w:r w:rsidR="002F0E6E">
              <w:rPr>
                <w:webHidden/>
              </w:rPr>
              <w:t>17</w:t>
            </w:r>
            <w:r w:rsidR="002F0E6E">
              <w:rPr>
                <w:webHidden/>
              </w:rPr>
              <w:fldChar w:fldCharType="end"/>
            </w:r>
          </w:hyperlink>
        </w:p>
        <w:p w14:paraId="7D4F56F9" w14:textId="61088819" w:rsidR="002F0E6E" w:rsidRDefault="00000000">
          <w:pPr>
            <w:pStyle w:val="TOC1"/>
            <w:rPr>
              <w:rFonts w:asciiTheme="minorHAnsi" w:eastAsiaTheme="minorEastAsia" w:hAnsiTheme="minorHAnsi" w:cstheme="minorBidi"/>
              <w:b w:val="0"/>
              <w:kern w:val="2"/>
              <w:szCs w:val="20"/>
              <w:lang w:eastAsia="en-AU" w:bidi="hi-IN"/>
              <w14:ligatures w14:val="standardContextual"/>
            </w:rPr>
          </w:pPr>
          <w:hyperlink w:anchor="_Toc152581512" w:history="1">
            <w:r w:rsidR="002F0E6E" w:rsidRPr="00FF5D55">
              <w:rPr>
                <w:rStyle w:val="Hyperlink"/>
              </w:rPr>
              <w:t>References</w:t>
            </w:r>
            <w:r w:rsidR="002F0E6E">
              <w:rPr>
                <w:webHidden/>
              </w:rPr>
              <w:tab/>
            </w:r>
            <w:r w:rsidR="002F0E6E">
              <w:rPr>
                <w:webHidden/>
              </w:rPr>
              <w:fldChar w:fldCharType="begin"/>
            </w:r>
            <w:r w:rsidR="002F0E6E">
              <w:rPr>
                <w:webHidden/>
              </w:rPr>
              <w:instrText xml:space="preserve"> PAGEREF _Toc152581512 \h </w:instrText>
            </w:r>
            <w:r w:rsidR="002F0E6E">
              <w:rPr>
                <w:webHidden/>
              </w:rPr>
            </w:r>
            <w:r w:rsidR="002F0E6E">
              <w:rPr>
                <w:webHidden/>
              </w:rPr>
              <w:fldChar w:fldCharType="separate"/>
            </w:r>
            <w:r w:rsidR="002F0E6E">
              <w:rPr>
                <w:webHidden/>
              </w:rPr>
              <w:t>20</w:t>
            </w:r>
            <w:r w:rsidR="002F0E6E">
              <w:rPr>
                <w:webHidden/>
              </w:rPr>
              <w:fldChar w:fldCharType="end"/>
            </w:r>
          </w:hyperlink>
        </w:p>
        <w:p w14:paraId="162EF628" w14:textId="67C8940D" w:rsidR="00C755F1" w:rsidRDefault="002F0E6E">
          <w:r>
            <w:fldChar w:fldCharType="end"/>
          </w:r>
        </w:p>
      </w:sdtContent>
    </w:sdt>
    <w:p w14:paraId="48D1C411" w14:textId="77777777" w:rsidR="00467E14" w:rsidRPr="00D45B16" w:rsidRDefault="00467E14" w:rsidP="00D45B16">
      <w:r w:rsidRPr="00D45B16">
        <w:br w:type="page"/>
      </w:r>
    </w:p>
    <w:p w14:paraId="22A60A8A" w14:textId="33FCE0E7" w:rsidR="00E56427" w:rsidRDefault="003B1775" w:rsidP="003A4815">
      <w:pPr>
        <w:pStyle w:val="Heading1"/>
      </w:pPr>
      <w:bookmarkStart w:id="0" w:name="_Toc152581500"/>
      <w:r>
        <w:lastRenderedPageBreak/>
        <w:t xml:space="preserve">Core </w:t>
      </w:r>
      <w:r w:rsidR="00EF2CCF">
        <w:t>1</w:t>
      </w:r>
      <w:r w:rsidR="21404A17">
        <w:t xml:space="preserve"> – </w:t>
      </w:r>
      <w:r w:rsidR="002F0E6E">
        <w:t xml:space="preserve">the </w:t>
      </w:r>
      <w:r w:rsidR="0090586A">
        <w:t>i</w:t>
      </w:r>
      <w:r w:rsidR="00EF2CCF">
        <w:t>ndustry</w:t>
      </w:r>
      <w:bookmarkEnd w:id="0"/>
    </w:p>
    <w:p w14:paraId="0B8E01A9" w14:textId="18135578" w:rsidR="001C54E3" w:rsidRDefault="001C54E3" w:rsidP="002F681B">
      <w:bookmarkStart w:id="1" w:name="_Hlk85101571"/>
      <w:r w:rsidRPr="00382AAF">
        <w:t xml:space="preserve">This </w:t>
      </w:r>
      <w:r>
        <w:t>learning sequence</w:t>
      </w:r>
      <w:r w:rsidRPr="00382AAF">
        <w:t xml:space="preserve"> </w:t>
      </w:r>
      <w:r>
        <w:t xml:space="preserve">develops </w:t>
      </w:r>
      <w:r w:rsidR="009F40B3">
        <w:t xml:space="preserve">the </w:t>
      </w:r>
      <w:r>
        <w:t xml:space="preserve">students’ understanding of the </w:t>
      </w:r>
      <w:r w:rsidR="00071479">
        <w:t>e</w:t>
      </w:r>
      <w:r w:rsidR="00BF717D">
        <w:t>quine</w:t>
      </w:r>
      <w:r>
        <w:t xml:space="preserve"> industry, its history, contemporary organisation</w:t>
      </w:r>
      <w:r w:rsidR="009F40B3">
        <w:t>,</w:t>
      </w:r>
      <w:r>
        <w:t xml:space="preserve"> and how it contributes</w:t>
      </w:r>
      <w:r w:rsidR="00071479">
        <w:t xml:space="preserve"> to</w:t>
      </w:r>
      <w:r>
        <w:t xml:space="preserve"> the Australian economy. Students learn about the different stakeholders, </w:t>
      </w:r>
      <w:r w:rsidR="009F40B3">
        <w:t xml:space="preserve">and </w:t>
      </w:r>
      <w:r>
        <w:t xml:space="preserve">the rules and legislation specific to </w:t>
      </w:r>
      <w:r w:rsidR="00F24A1E">
        <w:t>horses</w:t>
      </w:r>
      <w:r>
        <w:t>.</w:t>
      </w:r>
    </w:p>
    <w:p w14:paraId="61E258C7" w14:textId="77777777" w:rsidR="001C54E3" w:rsidRDefault="001C54E3" w:rsidP="002F681B">
      <w:r>
        <w:t>Students gain an appreciation of the different parts of the industry and develop skills in the application of the associated standards and expectations.</w:t>
      </w:r>
    </w:p>
    <w:p w14:paraId="2D72666D" w14:textId="77777777" w:rsidR="00E56427" w:rsidRDefault="00E56427" w:rsidP="003A4815">
      <w:pPr>
        <w:pStyle w:val="Heading2"/>
      </w:pPr>
      <w:bookmarkStart w:id="2" w:name="_Toc152581501"/>
      <w:bookmarkEnd w:id="1"/>
      <w:r>
        <w:t>Duration of learning</w:t>
      </w:r>
      <w:bookmarkEnd w:id="2"/>
    </w:p>
    <w:p w14:paraId="3069BAC0" w14:textId="38D74FC6" w:rsidR="00BD3D8F" w:rsidRDefault="00BD3D8F" w:rsidP="002F681B">
      <w:pPr>
        <w:pStyle w:val="FeatureBox2"/>
      </w:pPr>
      <w:r>
        <w:t xml:space="preserve">The practical nature of Animal studies requires the concepts students learn </w:t>
      </w:r>
      <w:r w:rsidR="00A43489">
        <w:t xml:space="preserve">throughout the learning sequence to be supported by </w:t>
      </w:r>
      <w:r w:rsidR="002E0799">
        <w:t xml:space="preserve">repeated opportunities to </w:t>
      </w:r>
      <w:r w:rsidR="00564014">
        <w:t>app</w:t>
      </w:r>
      <w:r w:rsidR="002E0799">
        <w:t>ly</w:t>
      </w:r>
      <w:r w:rsidR="00564014">
        <w:t xml:space="preserve"> the skills</w:t>
      </w:r>
      <w:r w:rsidR="002E0799">
        <w:t xml:space="preserve"> </w:t>
      </w:r>
      <w:r w:rsidR="00E22699">
        <w:t>under supervised conditions.</w:t>
      </w:r>
    </w:p>
    <w:p w14:paraId="5EAF91FF" w14:textId="6A2F374F" w:rsidR="00276FAD" w:rsidRPr="00214C02" w:rsidRDefault="003B1775" w:rsidP="002F681B">
      <w:r w:rsidRPr="00381F7D">
        <w:t xml:space="preserve">This </w:t>
      </w:r>
      <w:r w:rsidR="00E9689C" w:rsidRPr="00381F7D">
        <w:t>learning sequence</w:t>
      </w:r>
      <w:r w:rsidRPr="00381F7D">
        <w:t xml:space="preserve"> is designed to be completed over a period of </w:t>
      </w:r>
      <w:r w:rsidR="005C0836">
        <w:t>20</w:t>
      </w:r>
      <w:r w:rsidR="005C0836" w:rsidRPr="00214C02">
        <w:t xml:space="preserve"> </w:t>
      </w:r>
      <w:r w:rsidR="005D4243" w:rsidRPr="00214C02">
        <w:t>hour</w:t>
      </w:r>
      <w:r w:rsidR="00C33849" w:rsidRPr="00214C02">
        <w:t>s</w:t>
      </w:r>
      <w:r w:rsidR="00487565" w:rsidRPr="00214C02">
        <w:t xml:space="preserve"> and </w:t>
      </w:r>
      <w:r w:rsidR="00976FF6" w:rsidRPr="00214C02">
        <w:t>can be adapted to sui</w:t>
      </w:r>
      <w:r w:rsidR="00DF3729" w:rsidRPr="00214C02">
        <w:t>t each school context.</w:t>
      </w:r>
    </w:p>
    <w:p w14:paraId="4756E598" w14:textId="06C7F6EF" w:rsidR="006710A0" w:rsidRDefault="00C33849" w:rsidP="002F681B">
      <w:r w:rsidRPr="00214C02">
        <w:t xml:space="preserve">It </w:t>
      </w:r>
      <w:r w:rsidR="00276FAD" w:rsidRPr="00214C02">
        <w:t xml:space="preserve">is suitable to </w:t>
      </w:r>
      <w:r w:rsidRPr="00214C02">
        <w:t>be integrated with</w:t>
      </w:r>
      <w:r w:rsidR="00005210">
        <w:t xml:space="preserve"> </w:t>
      </w:r>
      <w:r w:rsidR="00071479">
        <w:t>Equine studies</w:t>
      </w:r>
      <w:r w:rsidR="00071479" w:rsidRPr="00260E52">
        <w:t xml:space="preserve"> </w:t>
      </w:r>
      <w:r w:rsidR="00005210">
        <w:t>O</w:t>
      </w:r>
      <w:r w:rsidR="00276FAD" w:rsidRPr="00214C02">
        <w:t xml:space="preserve">ption </w:t>
      </w:r>
      <w:r w:rsidR="00205BFA">
        <w:t>E</w:t>
      </w:r>
      <w:r w:rsidR="00D95F2D">
        <w:t>3</w:t>
      </w:r>
      <w:r w:rsidR="003A4815">
        <w:t xml:space="preserve"> –</w:t>
      </w:r>
      <w:r w:rsidR="00D95F2D">
        <w:t xml:space="preserve"> </w:t>
      </w:r>
      <w:r w:rsidR="003A4815">
        <w:t>i</w:t>
      </w:r>
      <w:r w:rsidR="00D95F2D">
        <w:t>ntroduction to riding</w:t>
      </w:r>
      <w:r w:rsidR="00C56A62">
        <w:t>.</w:t>
      </w:r>
    </w:p>
    <w:p w14:paraId="4E6F5EE6" w14:textId="5F09D400" w:rsidR="00ED6FD8" w:rsidRPr="00260E52" w:rsidRDefault="00ED6FD8" w:rsidP="002F681B">
      <w:r w:rsidRPr="00ED07D5">
        <w:t xml:space="preserve">This </w:t>
      </w:r>
      <w:r w:rsidR="003C2BEC" w:rsidRPr="00260E52">
        <w:t xml:space="preserve">unit was written to be </w:t>
      </w:r>
      <w:r w:rsidR="007E6B26" w:rsidRPr="00260E52">
        <w:t xml:space="preserve">delivered concurrently with </w:t>
      </w:r>
      <w:r w:rsidR="00D95F2D">
        <w:t>Eq</w:t>
      </w:r>
      <w:r w:rsidR="00205BFA">
        <w:t xml:space="preserve">uine </w:t>
      </w:r>
      <w:r w:rsidR="00071479">
        <w:t>s</w:t>
      </w:r>
      <w:r w:rsidR="00205BFA">
        <w:t>tudies</w:t>
      </w:r>
      <w:r w:rsidR="002A468D" w:rsidRPr="00260E52">
        <w:t xml:space="preserve"> Option</w:t>
      </w:r>
      <w:r w:rsidR="003A4815">
        <w:t xml:space="preserve"> </w:t>
      </w:r>
      <w:r w:rsidR="00205BFA">
        <w:t>E3</w:t>
      </w:r>
      <w:r w:rsidR="002A468D" w:rsidRPr="00260E52">
        <w:t xml:space="preserve"> </w:t>
      </w:r>
      <w:r w:rsidR="003A4815">
        <w:t>– in</w:t>
      </w:r>
      <w:r w:rsidR="00205BFA">
        <w:t>troduction to riding</w:t>
      </w:r>
      <w:r w:rsidR="00C86985" w:rsidRPr="00260E52">
        <w:t xml:space="preserve"> to </w:t>
      </w:r>
      <w:r w:rsidR="0074173C" w:rsidRPr="00260E52">
        <w:t>meet indicative</w:t>
      </w:r>
      <w:r w:rsidR="004E372A" w:rsidRPr="00260E52">
        <w:t xml:space="preserve"> delivery</w:t>
      </w:r>
      <w:r w:rsidR="0074173C" w:rsidRPr="00260E52">
        <w:t xml:space="preserve"> hours</w:t>
      </w:r>
      <w:r w:rsidR="004E372A" w:rsidRPr="00260E52">
        <w:t>.</w:t>
      </w:r>
    </w:p>
    <w:p w14:paraId="07BAC466" w14:textId="1CB52A42" w:rsidR="0080761C" w:rsidRDefault="0080761C" w:rsidP="003A4815">
      <w:pPr>
        <w:pStyle w:val="Heading2"/>
      </w:pPr>
      <w:bookmarkStart w:id="3" w:name="_Toc152581502"/>
      <w:r>
        <w:t>Outcomes</w:t>
      </w:r>
      <w:bookmarkEnd w:id="3"/>
    </w:p>
    <w:p w14:paraId="230D2AB0" w14:textId="77777777" w:rsidR="0080761C" w:rsidRDefault="0080761C" w:rsidP="002F681B">
      <w:r>
        <w:t>A student:</w:t>
      </w:r>
    </w:p>
    <w:p w14:paraId="04AFCF6A" w14:textId="06D1F8CB" w:rsidR="00973AD0" w:rsidRDefault="005B4EE8" w:rsidP="002F681B">
      <w:pPr>
        <w:pStyle w:val="ListBullet"/>
        <w:numPr>
          <w:ilvl w:val="0"/>
          <w:numId w:val="1"/>
        </w:numPr>
      </w:pPr>
      <w:r w:rsidRPr="001D680D">
        <w:rPr>
          <w:rStyle w:val="Strong"/>
        </w:rPr>
        <w:t>AS-1</w:t>
      </w:r>
      <w:r>
        <w:rPr>
          <w:rStyle w:val="Strong"/>
        </w:rPr>
        <w:t xml:space="preserve"> </w:t>
      </w:r>
      <w:r w:rsidR="00973AD0" w:rsidRPr="008C07A1">
        <w:t>identifies the range of industry goals and products</w:t>
      </w:r>
    </w:p>
    <w:p w14:paraId="67B4C90E" w14:textId="5D988DEC" w:rsidR="00973AD0" w:rsidRDefault="005B4EE8" w:rsidP="002F681B">
      <w:pPr>
        <w:pStyle w:val="ListBullet"/>
        <w:numPr>
          <w:ilvl w:val="0"/>
          <w:numId w:val="1"/>
        </w:numPr>
      </w:pPr>
      <w:r w:rsidRPr="001D680D">
        <w:rPr>
          <w:rStyle w:val="Strong"/>
        </w:rPr>
        <w:lastRenderedPageBreak/>
        <w:t>AS-2</w:t>
      </w:r>
      <w:r>
        <w:rPr>
          <w:rStyle w:val="Strong"/>
        </w:rPr>
        <w:t xml:space="preserve"> </w:t>
      </w:r>
      <w:r w:rsidR="00973AD0">
        <w:t>evaluates breeds and individual animals in relation to meeting industry requirements</w:t>
      </w:r>
    </w:p>
    <w:p w14:paraId="1D921D18" w14:textId="329D1B50" w:rsidR="00973AD0" w:rsidRDefault="005B4EE8" w:rsidP="002F681B">
      <w:pPr>
        <w:pStyle w:val="ListBullet"/>
        <w:numPr>
          <w:ilvl w:val="0"/>
          <w:numId w:val="1"/>
        </w:numPr>
      </w:pPr>
      <w:r w:rsidRPr="001D680D">
        <w:rPr>
          <w:rStyle w:val="Strong"/>
        </w:rPr>
        <w:t>AS-5</w:t>
      </w:r>
      <w:r>
        <w:rPr>
          <w:rStyle w:val="Strong"/>
        </w:rPr>
        <w:t xml:space="preserve"> </w:t>
      </w:r>
      <w:r w:rsidR="00973AD0">
        <w:t>describes market specifications for the industry</w:t>
      </w:r>
    </w:p>
    <w:p w14:paraId="3E2FD369" w14:textId="3AED686D" w:rsidR="0080761C" w:rsidRDefault="00000000" w:rsidP="002F681B">
      <w:pPr>
        <w:pStyle w:val="Imageattributioncaption"/>
      </w:pPr>
      <w:hyperlink r:id="rId7" w:history="1">
        <w:r w:rsidR="003B1775" w:rsidRPr="00A418A6">
          <w:rPr>
            <w:rStyle w:val="Hyperlink"/>
          </w:rPr>
          <w:t xml:space="preserve">Animal </w:t>
        </w:r>
        <w:r w:rsidR="055ACF5A" w:rsidRPr="00A418A6">
          <w:rPr>
            <w:rStyle w:val="Hyperlink"/>
          </w:rPr>
          <w:t>s</w:t>
        </w:r>
        <w:r w:rsidR="003B1775" w:rsidRPr="00A418A6">
          <w:rPr>
            <w:rStyle w:val="Hyperlink"/>
          </w:rPr>
          <w:t>tudies course document</w:t>
        </w:r>
      </w:hyperlink>
      <w:r w:rsidR="003B1775" w:rsidRPr="00973AD0">
        <w:t xml:space="preserve"> </w:t>
      </w:r>
      <w:r w:rsidR="0080761C" w:rsidRPr="0080761C">
        <w:t>©</w:t>
      </w:r>
      <w:r w:rsidR="0003796F">
        <w:t xml:space="preserve"> </w:t>
      </w:r>
      <w:r w:rsidR="0080761C" w:rsidRPr="0080761C">
        <w:t>NSW Department of Education</w:t>
      </w:r>
      <w:r w:rsidR="0003796F">
        <w:t xml:space="preserve"> </w:t>
      </w:r>
      <w:r w:rsidR="0080761C" w:rsidRPr="0080761C">
        <w:t xml:space="preserve">for and on behalf of the </w:t>
      </w:r>
      <w:r w:rsidR="00A0229C">
        <w:t>C</w:t>
      </w:r>
      <w:r w:rsidR="0080761C" w:rsidRPr="0080761C">
        <w:t>rown in the State of New South Wales</w:t>
      </w:r>
      <w:r w:rsidR="00A0229C">
        <w:t xml:space="preserve">, </w:t>
      </w:r>
      <w:r w:rsidR="0080761C" w:rsidRPr="0080761C">
        <w:t>2021.</w:t>
      </w:r>
    </w:p>
    <w:p w14:paraId="4BCE3E8F" w14:textId="77777777" w:rsidR="00905F53" w:rsidRDefault="00905F53" w:rsidP="0038203C">
      <w:pPr>
        <w:pStyle w:val="Heading2"/>
      </w:pPr>
      <w:bookmarkStart w:id="4" w:name="_Toc152581503"/>
      <w:r>
        <w:t>Rationale</w:t>
      </w:r>
      <w:bookmarkEnd w:id="4"/>
    </w:p>
    <w:p w14:paraId="755FAB4A" w14:textId="4D4FA043" w:rsidR="00144413" w:rsidRDefault="00EF175C" w:rsidP="002F681B">
      <w:r>
        <w:t>This course is intended for students seeking to further their knowledge and skills in particular animal industries that are relevant to their local context or interest.</w:t>
      </w:r>
    </w:p>
    <w:p w14:paraId="02C40A7A" w14:textId="018F2A48" w:rsidR="00EF175C" w:rsidRDefault="00EF175C" w:rsidP="002F681B">
      <w:r>
        <w:t xml:space="preserve">The Animal </w:t>
      </w:r>
      <w:r w:rsidR="0A2B8A18">
        <w:t>s</w:t>
      </w:r>
      <w:r>
        <w:t>tudies course provides the opportunity to extend and develop student interest beyond the scope of curriculum options from the NSW Education Standards Authority (NESA)</w:t>
      </w:r>
      <w:r w:rsidR="00B20736">
        <w:t>.</w:t>
      </w:r>
    </w:p>
    <w:p w14:paraId="55CC80A9" w14:textId="1BA32FD0" w:rsidR="00EF175C" w:rsidRDefault="00EF175C" w:rsidP="002F681B">
      <w:r>
        <w:t>This will consequently allow specialisation, which will promote the safe participation of students in the industry, add deep knowledge and understanding and develop advanced skills in the management and handling of the selected species.</w:t>
      </w:r>
    </w:p>
    <w:p w14:paraId="5E6DEF7D" w14:textId="757046D0" w:rsidR="00EF175C" w:rsidRPr="00E26052" w:rsidRDefault="00EF175C" w:rsidP="002F681B">
      <w:r>
        <w:t>Provision of courses for Stage 5 m</w:t>
      </w:r>
      <w:r w:rsidR="00C15C1F">
        <w:t>u</w:t>
      </w:r>
      <w:r>
        <w:t xml:space="preserve">st meet the needs of a diverse range of student needs including students with disability, high </w:t>
      </w:r>
      <w:r w:rsidR="00BC307D">
        <w:t xml:space="preserve">potential </w:t>
      </w:r>
      <w:r>
        <w:t>and gifted students, and students from diverse cultural backgrounds, to maximise their post-school opportunities.</w:t>
      </w:r>
    </w:p>
    <w:p w14:paraId="723B1A82" w14:textId="4DE1D17A" w:rsidR="00144413" w:rsidRDefault="00144413" w:rsidP="0038203C">
      <w:pPr>
        <w:pStyle w:val="Heading2"/>
      </w:pPr>
      <w:bookmarkStart w:id="5" w:name="_Toc116636032"/>
      <w:bookmarkStart w:id="6" w:name="_Toc152581504"/>
      <w:r>
        <w:t>Aim</w:t>
      </w:r>
      <w:bookmarkEnd w:id="5"/>
      <w:bookmarkEnd w:id="6"/>
    </w:p>
    <w:p w14:paraId="6074EB54" w14:textId="0E6F313B" w:rsidR="00144413" w:rsidRDefault="00EF175C" w:rsidP="002F681B">
      <w:r>
        <w:t>The course aims to develop:</w:t>
      </w:r>
    </w:p>
    <w:p w14:paraId="5AC06A31" w14:textId="459E8045" w:rsidR="00EF175C" w:rsidRDefault="770AB25E" w:rsidP="002F681B">
      <w:pPr>
        <w:pStyle w:val="ListBullet"/>
      </w:pPr>
      <w:r>
        <w:t>a</w:t>
      </w:r>
      <w:r w:rsidR="00EF175C">
        <w:t>n understanding and knowledge of the specific animal industry</w:t>
      </w:r>
    </w:p>
    <w:p w14:paraId="0D61A5B5" w14:textId="2E61DB77" w:rsidR="00EF175C" w:rsidRDefault="0A553DE9" w:rsidP="002F681B">
      <w:pPr>
        <w:pStyle w:val="ListBullet"/>
      </w:pPr>
      <w:r>
        <w:t>s</w:t>
      </w:r>
      <w:r w:rsidR="00EF175C">
        <w:t>kills and knowledge in the management of a species to meet industry goals</w:t>
      </w:r>
    </w:p>
    <w:p w14:paraId="512E7A0F" w14:textId="22FBFC19" w:rsidR="00EF175C" w:rsidRDefault="0C2D01E2" w:rsidP="002F681B">
      <w:pPr>
        <w:pStyle w:val="ListBullet"/>
      </w:pPr>
      <w:r>
        <w:lastRenderedPageBreak/>
        <w:t>a</w:t>
      </w:r>
      <w:r w:rsidR="00EF175C">
        <w:t>n appreciation and awareness of safe work practices and management when using animals</w:t>
      </w:r>
    </w:p>
    <w:p w14:paraId="1E6713DA" w14:textId="7868E294" w:rsidR="00EF175C" w:rsidRPr="00614CA2" w:rsidRDefault="00EF175C" w:rsidP="002F681B">
      <w:pPr>
        <w:pStyle w:val="ListBullet"/>
      </w:pPr>
      <w:r>
        <w:t>an empathy and appreciation for the animal’s wellbeing</w:t>
      </w:r>
      <w:r w:rsidR="00A0229C">
        <w:t>.</w:t>
      </w:r>
    </w:p>
    <w:p w14:paraId="46EF272E" w14:textId="77777777" w:rsidR="00905F53" w:rsidRDefault="00905F53" w:rsidP="0038203C">
      <w:pPr>
        <w:pStyle w:val="Heading2"/>
      </w:pPr>
      <w:bookmarkStart w:id="7" w:name="_Toc152581505"/>
      <w:r>
        <w:t>Purpose and audience</w:t>
      </w:r>
      <w:bookmarkEnd w:id="7"/>
    </w:p>
    <w:p w14:paraId="5FBEF756" w14:textId="6C6C5120" w:rsidR="00905F53" w:rsidRDefault="00905F53" w:rsidP="002F681B">
      <w:r>
        <w:t>This teaching resource is for teachers delivering or planning to deliver the course. The learning sequence demonstrates how a combination of outcomes can be used to develop teaching and learning activities. It also suggests a range of resources to support teachers when planning and teaching the course.</w:t>
      </w:r>
    </w:p>
    <w:p w14:paraId="3C238019" w14:textId="77777777" w:rsidR="00905F53" w:rsidRDefault="00905F53" w:rsidP="0038203C">
      <w:pPr>
        <w:pStyle w:val="Heading2"/>
      </w:pPr>
      <w:bookmarkStart w:id="8" w:name="_Toc152581506"/>
      <w:r>
        <w:t>When and how to use this document</w:t>
      </w:r>
      <w:bookmarkEnd w:id="8"/>
    </w:p>
    <w:p w14:paraId="38F62177" w14:textId="40CBFE08" w:rsidR="00905F53" w:rsidRDefault="00905F53" w:rsidP="00905F53">
      <w:r>
        <w:t>Use this resource when designing learning activities that align with the course outcomes and content. The activities and resources can be used directly or may be adapted based on teacher judgment and knowledge of their students.</w:t>
      </w:r>
      <w:r w:rsidR="00A149EB">
        <w:t xml:space="preserve"> </w:t>
      </w:r>
      <w:r w:rsidR="00666AA0">
        <w:t>Core</w:t>
      </w:r>
      <w:r w:rsidR="00CA6EA3">
        <w:t xml:space="preserve"> and options topics may be taught concurrently or </w:t>
      </w:r>
      <w:r w:rsidR="00BD7A18">
        <w:t>consecutively</w:t>
      </w:r>
      <w:r w:rsidR="00104EA9">
        <w:t>.</w:t>
      </w:r>
      <w:r w:rsidR="00BD7A18">
        <w:t xml:space="preserve"> C</w:t>
      </w:r>
      <w:r>
        <w:t>onsult the</w:t>
      </w:r>
      <w:r w:rsidR="00BC1E9E">
        <w:t xml:space="preserve"> </w:t>
      </w:r>
      <w:hyperlink r:id="rId8" w:history="1">
        <w:r w:rsidR="00BC1E9E" w:rsidRPr="002C448A">
          <w:rPr>
            <w:rStyle w:val="Hyperlink"/>
          </w:rPr>
          <w:t>Animal studies</w:t>
        </w:r>
        <w:r w:rsidRPr="002C448A">
          <w:rPr>
            <w:rStyle w:val="Hyperlink"/>
          </w:rPr>
          <w:t xml:space="preserve"> course document</w:t>
        </w:r>
      </w:hyperlink>
      <w:r>
        <w:t xml:space="preserve"> for further details on timing of core and options.</w:t>
      </w:r>
    </w:p>
    <w:p w14:paraId="013AF6F2" w14:textId="2C7DC9F9" w:rsidR="45485EC5" w:rsidRDefault="45485EC5">
      <w:pPr>
        <w:rPr>
          <w:rFonts w:eastAsia="Arial"/>
        </w:rPr>
      </w:pPr>
      <w:r w:rsidRPr="73FE210B">
        <w:rPr>
          <w:rFonts w:eastAsia="Arial"/>
        </w:rPr>
        <w:t xml:space="preserve">Schools in NSW that use animals for educational purposes must satisfy the requirements of the </w:t>
      </w:r>
      <w:r w:rsidRPr="00B20736">
        <w:rPr>
          <w:rFonts w:eastAsia="Arial"/>
          <w:i/>
          <w:iCs/>
        </w:rPr>
        <w:t>Animal Research Act 1985</w:t>
      </w:r>
      <w:r w:rsidRPr="73FE210B">
        <w:rPr>
          <w:rFonts w:eastAsia="Arial"/>
        </w:rPr>
        <w:t xml:space="preserve"> (NSW) and the Australian code for the care and use of animals for scientific purposes. The legislation is interpreted for schools on the </w:t>
      </w:r>
      <w:hyperlink r:id="rId9" w:history="1">
        <w:r w:rsidRPr="73FE210B">
          <w:rPr>
            <w:rStyle w:val="Hyperlink"/>
            <w:rFonts w:eastAsia="Arial"/>
          </w:rPr>
          <w:t xml:space="preserve">Animals in </w:t>
        </w:r>
        <w:r w:rsidR="00FF2D1B">
          <w:rPr>
            <w:rStyle w:val="Hyperlink"/>
            <w:rFonts w:eastAsia="Arial"/>
          </w:rPr>
          <w:t>S</w:t>
        </w:r>
        <w:r w:rsidRPr="73FE210B">
          <w:rPr>
            <w:rStyle w:val="Hyperlink"/>
            <w:rFonts w:eastAsia="Arial"/>
          </w:rPr>
          <w:t>chools website</w:t>
        </w:r>
      </w:hyperlink>
      <w:r w:rsidRPr="73FE210B">
        <w:rPr>
          <w:rFonts w:eastAsia="Arial"/>
        </w:rPr>
        <w:t xml:space="preserve"> and applies to all vertebrate animals.</w:t>
      </w:r>
    </w:p>
    <w:p w14:paraId="556E98A9" w14:textId="77777777" w:rsidR="0080761C" w:rsidRDefault="0080761C" w:rsidP="0080761C">
      <w:r>
        <w:br w:type="page"/>
      </w:r>
    </w:p>
    <w:p w14:paraId="0EE381B6" w14:textId="77777777" w:rsidR="0080761C" w:rsidRDefault="0080761C" w:rsidP="0038203C">
      <w:pPr>
        <w:pStyle w:val="Heading1"/>
      </w:pPr>
      <w:bookmarkStart w:id="9" w:name="_Toc152581507"/>
      <w:r>
        <w:lastRenderedPageBreak/>
        <w:t>Learning sequences</w:t>
      </w:r>
      <w:bookmarkEnd w:id="9"/>
    </w:p>
    <w:p w14:paraId="48F3CF53" w14:textId="057C8EFC" w:rsidR="0080761C" w:rsidRDefault="0080761C" w:rsidP="002F681B">
      <w:r>
        <w:t>This sample learning sequence has been prepared by the NSW Department of Education. It has been developed as a guide for teachers to assist in the development of a teaching and learning program contextualised to an individual school's needs. The scope and depth of the content covered should relate to the school's context, expertise of the teachers delivering the course and the prior knowledge of the students. Plan learning activities that are inclusive and accommodate the needs of all students, in your classroom from the beginning. Some students may require more specific adjustments to allow them to participate on the same basis. Space is provided for adjustments and enhancements that are made to the learning sequence during its implementation, in order to meet the individual needs of students and to allow for differentiation of the</w:t>
      </w:r>
      <w:r w:rsidR="003B6456">
        <w:t xml:space="preserve"> Animal </w:t>
      </w:r>
      <w:r w:rsidR="00E7177D">
        <w:t>s</w:t>
      </w:r>
      <w:r w:rsidR="003B6456">
        <w:t>tudies</w:t>
      </w:r>
      <w:r>
        <w:t xml:space="preserve"> c</w:t>
      </w:r>
      <w:r w:rsidR="00E7177D">
        <w:t>ourse</w:t>
      </w:r>
      <w:r>
        <w:t>. For further advice</w:t>
      </w:r>
      <w:r w:rsidR="00005210">
        <w:t xml:space="preserve">, see </w:t>
      </w:r>
      <w:hyperlink w:anchor="_Additional_information_1" w:history="1">
        <w:r w:rsidR="00005210" w:rsidRPr="00005210">
          <w:rPr>
            <w:rStyle w:val="Hyperlink"/>
          </w:rPr>
          <w:t>Additional information</w:t>
        </w:r>
      </w:hyperlink>
      <w:r w:rsidR="00005210">
        <w:t xml:space="preserve"> later in this document.</w:t>
      </w:r>
    </w:p>
    <w:p w14:paraId="2091EB0D" w14:textId="7B2C0E3F" w:rsidR="00AD1582" w:rsidRPr="00AD1582" w:rsidRDefault="00AD1582" w:rsidP="002F681B">
      <w:r w:rsidRPr="00AD1582">
        <w:br w:type="page"/>
      </w:r>
    </w:p>
    <w:p w14:paraId="01F4C8E8" w14:textId="5FBAE938" w:rsidR="00D43AA9" w:rsidRDefault="00CB0D68" w:rsidP="0038203C">
      <w:pPr>
        <w:pStyle w:val="Heading2"/>
      </w:pPr>
      <w:bookmarkStart w:id="10" w:name="_Toc152581508"/>
      <w:r>
        <w:lastRenderedPageBreak/>
        <w:t>Weeks 1</w:t>
      </w:r>
      <w:r w:rsidR="005574A7">
        <w:t>–</w:t>
      </w:r>
      <w:r>
        <w:t>3</w:t>
      </w:r>
      <w:bookmarkEnd w:id="10"/>
    </w:p>
    <w:p w14:paraId="5C8DBB13" w14:textId="750B86AC" w:rsidR="004938BA" w:rsidRDefault="004938BA" w:rsidP="002F681B">
      <w:pPr>
        <w:pStyle w:val="Caption"/>
      </w:pPr>
      <w:r>
        <w:t xml:space="preserve">Table </w:t>
      </w:r>
      <w:r>
        <w:fldChar w:fldCharType="begin"/>
      </w:r>
      <w:r>
        <w:instrText>SEQ Table \* ARABIC</w:instrText>
      </w:r>
      <w:r>
        <w:fldChar w:fldCharType="separate"/>
      </w:r>
      <w:r>
        <w:rPr>
          <w:noProof/>
        </w:rPr>
        <w:t>1</w:t>
      </w:r>
      <w:r>
        <w:fldChar w:fldCharType="end"/>
      </w:r>
      <w:r>
        <w:t xml:space="preserve"> – </w:t>
      </w:r>
      <w:r w:rsidR="00D6246F">
        <w:t>e</w:t>
      </w:r>
      <w:r>
        <w:t>quine studies</w:t>
      </w:r>
      <w:r w:rsidR="003A4815">
        <w:t xml:space="preserve"> –</w:t>
      </w:r>
      <w:r>
        <w:t xml:space="preserve"> </w:t>
      </w:r>
      <w:r w:rsidR="00274F95">
        <w:t>Core 1</w:t>
      </w:r>
      <w:r w:rsidR="00C26FCC">
        <w:t xml:space="preserve"> –</w:t>
      </w:r>
      <w:r w:rsidR="00274F95">
        <w:t xml:space="preserve"> T</w:t>
      </w:r>
      <w:r>
        <w:t>he industry weeks 1–3 learning sequence</w:t>
      </w:r>
    </w:p>
    <w:tbl>
      <w:tblPr>
        <w:tblStyle w:val="Tableheader"/>
        <w:tblW w:w="5000" w:type="pct"/>
        <w:tblLayout w:type="fixed"/>
        <w:tblLook w:val="0420" w:firstRow="1" w:lastRow="0" w:firstColumn="0" w:lastColumn="0" w:noHBand="0" w:noVBand="1"/>
        <w:tblDescription w:val="Animal studies outcomes and content are listed in column 1. The other columns show the teaching and learning information, evidence of learning and the adjustments and registrations that relate to the course outcomes. The adjustments and registration column is blank."/>
      </w:tblPr>
      <w:tblGrid>
        <w:gridCol w:w="3640"/>
        <w:gridCol w:w="3640"/>
        <w:gridCol w:w="3641"/>
        <w:gridCol w:w="3641"/>
      </w:tblGrid>
      <w:tr w:rsidR="00D43AA9" w14:paraId="631AE405" w14:textId="77777777" w:rsidTr="69707E99">
        <w:trPr>
          <w:cnfStyle w:val="100000000000" w:firstRow="1" w:lastRow="0" w:firstColumn="0" w:lastColumn="0" w:oddVBand="0" w:evenVBand="0" w:oddHBand="0" w:evenHBand="0" w:firstRowFirstColumn="0" w:firstRowLastColumn="0" w:lastRowFirstColumn="0" w:lastRowLastColumn="0"/>
        </w:trPr>
        <w:tc>
          <w:tcPr>
            <w:tcW w:w="1250" w:type="pct"/>
          </w:tcPr>
          <w:p w14:paraId="52602F00" w14:textId="77777777" w:rsidR="00D43AA9" w:rsidRDefault="00D43AA9" w:rsidP="002F681B">
            <w:r w:rsidRPr="000319FA">
              <w:t>Outcomes and content</w:t>
            </w:r>
          </w:p>
        </w:tc>
        <w:tc>
          <w:tcPr>
            <w:tcW w:w="1250" w:type="pct"/>
          </w:tcPr>
          <w:p w14:paraId="4EF7F2D5" w14:textId="77777777" w:rsidR="00D43AA9" w:rsidRDefault="00D43AA9" w:rsidP="002F681B">
            <w:r w:rsidRPr="000319FA">
              <w:t>Teaching and learning</w:t>
            </w:r>
          </w:p>
        </w:tc>
        <w:tc>
          <w:tcPr>
            <w:tcW w:w="1250" w:type="pct"/>
          </w:tcPr>
          <w:p w14:paraId="192BBB6F" w14:textId="77777777" w:rsidR="00D43AA9" w:rsidRDefault="00D43AA9" w:rsidP="002F681B">
            <w:r w:rsidRPr="000319FA">
              <w:t>Evidence of learning</w:t>
            </w:r>
          </w:p>
        </w:tc>
        <w:tc>
          <w:tcPr>
            <w:tcW w:w="1250" w:type="pct"/>
          </w:tcPr>
          <w:p w14:paraId="3DC253F0" w14:textId="77777777" w:rsidR="00D43AA9" w:rsidRDefault="00D43AA9" w:rsidP="002F681B">
            <w:r w:rsidRPr="000319FA">
              <w:t>Adjustments and registration</w:t>
            </w:r>
          </w:p>
        </w:tc>
      </w:tr>
      <w:tr w:rsidR="00D43AA9" w14:paraId="420D1EE1" w14:textId="77777777" w:rsidTr="69707E99">
        <w:trPr>
          <w:cnfStyle w:val="000000100000" w:firstRow="0" w:lastRow="0" w:firstColumn="0" w:lastColumn="0" w:oddVBand="0" w:evenVBand="0" w:oddHBand="1" w:evenHBand="0" w:firstRowFirstColumn="0" w:firstRowLastColumn="0" w:lastRowFirstColumn="0" w:lastRowLastColumn="0"/>
        </w:trPr>
        <w:tc>
          <w:tcPr>
            <w:tcW w:w="1250" w:type="pct"/>
          </w:tcPr>
          <w:p w14:paraId="005FC98E" w14:textId="5FBA4D77" w:rsidR="00904360" w:rsidRDefault="00904360" w:rsidP="002F681B">
            <w:pPr>
              <w:pStyle w:val="ListBullet"/>
              <w:numPr>
                <w:ilvl w:val="0"/>
                <w:numId w:val="0"/>
              </w:numPr>
              <w:rPr>
                <w:rStyle w:val="Strong"/>
              </w:rPr>
            </w:pPr>
            <w:r>
              <w:rPr>
                <w:rStyle w:val="Strong"/>
              </w:rPr>
              <w:t>Outcomes</w:t>
            </w:r>
          </w:p>
          <w:p w14:paraId="54E9C14F" w14:textId="04425912" w:rsidR="00B2106D" w:rsidRDefault="00B2106D" w:rsidP="002F681B">
            <w:pPr>
              <w:pStyle w:val="ListBullet"/>
              <w:numPr>
                <w:ilvl w:val="0"/>
                <w:numId w:val="0"/>
              </w:numPr>
            </w:pPr>
            <w:r w:rsidRPr="001D680D">
              <w:rPr>
                <w:rStyle w:val="Strong"/>
              </w:rPr>
              <w:t>AS-1</w:t>
            </w:r>
            <w:r w:rsidR="009A10A6">
              <w:rPr>
                <w:rStyle w:val="Strong"/>
              </w:rPr>
              <w:t xml:space="preserve">, </w:t>
            </w:r>
            <w:r w:rsidRPr="001D680D">
              <w:rPr>
                <w:rStyle w:val="Strong"/>
              </w:rPr>
              <w:t>AS-2</w:t>
            </w:r>
          </w:p>
          <w:p w14:paraId="0320CFFC" w14:textId="3E57000E" w:rsidR="00904360" w:rsidRPr="00351A13" w:rsidRDefault="00904360" w:rsidP="002F681B">
            <w:pPr>
              <w:rPr>
                <w:b/>
                <w:bCs/>
              </w:rPr>
            </w:pPr>
            <w:r w:rsidRPr="00351A13">
              <w:rPr>
                <w:b/>
                <w:bCs/>
              </w:rPr>
              <w:t>Content</w:t>
            </w:r>
          </w:p>
          <w:p w14:paraId="28A6E59A" w14:textId="759C2ABF" w:rsidR="00D43AA9" w:rsidRDefault="00D43AA9" w:rsidP="002F681B">
            <w:r>
              <w:t>Students:</w:t>
            </w:r>
          </w:p>
          <w:p w14:paraId="69E6FE01" w14:textId="77777777" w:rsidR="00CB5579" w:rsidRDefault="00CB5579" w:rsidP="002F681B">
            <w:pPr>
              <w:pStyle w:val="ListBullet"/>
            </w:pPr>
            <w:r>
              <w:t>describe the objectives of the selected animal industry, for example</w:t>
            </w:r>
          </w:p>
          <w:p w14:paraId="301E4196" w14:textId="77777777" w:rsidR="00CB5579" w:rsidRPr="00880E58" w:rsidRDefault="00CB5579" w:rsidP="00880E58">
            <w:pPr>
              <w:pStyle w:val="ListBullet2"/>
              <w:ind w:left="1164" w:hanging="597"/>
            </w:pPr>
            <w:r w:rsidRPr="00880E58">
              <w:t>the different breeds/strains of the species linked to different industry goals</w:t>
            </w:r>
          </w:p>
          <w:p w14:paraId="4492EF77" w14:textId="10692DF4" w:rsidR="00D43AA9" w:rsidRPr="00D43AA9" w:rsidRDefault="00CB5579" w:rsidP="00880E58">
            <w:pPr>
              <w:pStyle w:val="ListBullet2"/>
              <w:ind w:left="1164" w:hanging="597"/>
            </w:pPr>
            <w:r w:rsidRPr="00880E58">
              <w:t xml:space="preserve">the range of enterprises or activities in the selected </w:t>
            </w:r>
            <w:r w:rsidRPr="00880E58">
              <w:lastRenderedPageBreak/>
              <w:t>industry.</w:t>
            </w:r>
          </w:p>
        </w:tc>
        <w:tc>
          <w:tcPr>
            <w:tcW w:w="1250" w:type="pct"/>
          </w:tcPr>
          <w:p w14:paraId="494338BF" w14:textId="77777777" w:rsidR="00814377" w:rsidRPr="003F0CB7" w:rsidRDefault="00814377" w:rsidP="002F681B">
            <w:pPr>
              <w:rPr>
                <w:rStyle w:val="Strong"/>
              </w:rPr>
            </w:pPr>
            <w:r w:rsidRPr="003F0CB7">
              <w:rPr>
                <w:rStyle w:val="Strong"/>
              </w:rPr>
              <w:lastRenderedPageBreak/>
              <w:t>Teacher</w:t>
            </w:r>
          </w:p>
          <w:p w14:paraId="32E4CD55" w14:textId="1FCA6086" w:rsidR="00814377" w:rsidRDefault="00814377" w:rsidP="002F681B">
            <w:r>
              <w:t xml:space="preserve">Introduce different uses of horses in Australia throughout history, </w:t>
            </w:r>
            <w:proofErr w:type="gramStart"/>
            <w:r>
              <w:t>including:</w:t>
            </w:r>
            <w:proofErr w:type="gramEnd"/>
            <w:r>
              <w:t xml:space="preserve"> pleasure riding, transport, war, racing, support, work. Discuss each use</w:t>
            </w:r>
            <w:r w:rsidR="00D6246F">
              <w:t>,</w:t>
            </w:r>
            <w:r>
              <w:t xml:space="preserve"> using current examples</w:t>
            </w:r>
            <w:r w:rsidR="00AA311E">
              <w:t xml:space="preserve"> such as</w:t>
            </w:r>
            <w:r>
              <w:t xml:space="preserve"> </w:t>
            </w:r>
            <w:hyperlink r:id="rId10" w:history="1">
              <w:r>
                <w:rPr>
                  <w:rStyle w:val="Hyperlink"/>
                </w:rPr>
                <w:t>Riding for</w:t>
              </w:r>
              <w:r w:rsidR="00D6246F">
                <w:rPr>
                  <w:rStyle w:val="Hyperlink"/>
                </w:rPr>
                <w:t xml:space="preserve"> </w:t>
              </w:r>
              <w:r w:rsidR="008C2E61">
                <w:rPr>
                  <w:rStyle w:val="Hyperlink"/>
                </w:rPr>
                <w:t xml:space="preserve">the </w:t>
              </w:r>
              <w:r>
                <w:rPr>
                  <w:rStyle w:val="Hyperlink"/>
                </w:rPr>
                <w:t>Disabled Association Australia (rda.org.au)</w:t>
              </w:r>
            </w:hyperlink>
            <w:r>
              <w:t>.</w:t>
            </w:r>
          </w:p>
          <w:p w14:paraId="0EA5F678" w14:textId="40E74DD4" w:rsidR="00814377" w:rsidRDefault="00814377" w:rsidP="002F681B">
            <w:r w:rsidRPr="00E452CE">
              <w:t xml:space="preserve">Encourage students </w:t>
            </w:r>
            <w:r w:rsidR="0090586A" w:rsidRPr="00E452CE">
              <w:t xml:space="preserve">to </w:t>
            </w:r>
            <w:r w:rsidRPr="00E452CE">
              <w:t>use prior knowledge and making connection</w:t>
            </w:r>
            <w:r w:rsidR="00351A13" w:rsidRPr="00E452CE">
              <w:t>s</w:t>
            </w:r>
            <w:r w:rsidRPr="00E452CE">
              <w:t xml:space="preserve"> to contribute to discussion.</w:t>
            </w:r>
          </w:p>
          <w:p w14:paraId="0FED231A" w14:textId="77777777" w:rsidR="00814377" w:rsidRDefault="00814377" w:rsidP="002F681B">
            <w:r>
              <w:t xml:space="preserve">Lead a class </w:t>
            </w:r>
            <w:hyperlink r:id="rId11" w:anchor=".Y6EsPLkv3yE.link" w:history="1">
              <w:r>
                <w:rPr>
                  <w:rStyle w:val="Hyperlink"/>
                </w:rPr>
                <w:t>brainstorm</w:t>
              </w:r>
            </w:hyperlink>
            <w:r>
              <w:t xml:space="preserve"> on why some uses are not suitable for the world we live in today.</w:t>
            </w:r>
          </w:p>
          <w:p w14:paraId="17685731" w14:textId="77777777" w:rsidR="00814377" w:rsidRPr="000A154F" w:rsidRDefault="00814377" w:rsidP="002F681B">
            <w:pPr>
              <w:rPr>
                <w:b/>
                <w:bCs/>
              </w:rPr>
            </w:pPr>
            <w:r w:rsidRPr="000A154F">
              <w:rPr>
                <w:b/>
                <w:bCs/>
              </w:rPr>
              <w:lastRenderedPageBreak/>
              <w:t>Student</w:t>
            </w:r>
          </w:p>
          <w:p w14:paraId="18E5B5DD" w14:textId="2D5F4F14" w:rsidR="00814377" w:rsidRDefault="00814377" w:rsidP="002F681B">
            <w:r>
              <w:t xml:space="preserve">Complete </w:t>
            </w:r>
            <w:hyperlink r:id="rId12" w:history="1">
              <w:r w:rsidRPr="001441B5">
                <w:rPr>
                  <w:rStyle w:val="Hyperlink"/>
                </w:rPr>
                <w:t>brainstorming activity</w:t>
              </w:r>
            </w:hyperlink>
            <w:r>
              <w:t xml:space="preserve"> discussing the uses of horses </w:t>
            </w:r>
            <w:r w:rsidRPr="00E452CE">
              <w:t>throughout history. Use prior knowledge and making connections to contribute</w:t>
            </w:r>
            <w:r>
              <w:t xml:space="preserve"> to class discussion around suitability of</w:t>
            </w:r>
            <w:r w:rsidR="00707AB2">
              <w:t xml:space="preserve"> these</w:t>
            </w:r>
            <w:r>
              <w:t xml:space="preserve"> uses in </w:t>
            </w:r>
            <w:r w:rsidR="00707AB2">
              <w:t>contemporary</w:t>
            </w:r>
            <w:r>
              <w:t xml:space="preserve"> society.</w:t>
            </w:r>
          </w:p>
          <w:p w14:paraId="3F7EA891" w14:textId="0FE3C2D0" w:rsidR="00814377" w:rsidRDefault="001A5698" w:rsidP="002F681B">
            <w:r>
              <w:t>D</w:t>
            </w:r>
            <w:r w:rsidR="00814377">
              <w:t xml:space="preserve">evelop a </w:t>
            </w:r>
            <w:hyperlink r:id="rId13" w:history="1">
              <w:r w:rsidR="008C2E61">
                <w:rPr>
                  <w:rStyle w:val="Hyperlink"/>
                </w:rPr>
                <w:t>Ve</w:t>
              </w:r>
              <w:r w:rsidR="00814377" w:rsidRPr="007A0354">
                <w:rPr>
                  <w:rStyle w:val="Hyperlink"/>
                </w:rPr>
                <w:t>nn diagram</w:t>
              </w:r>
            </w:hyperlink>
            <w:r w:rsidR="00814377">
              <w:t xml:space="preserve"> to convey the historical and contemporary uses of the horse. Include a current example</w:t>
            </w:r>
            <w:r w:rsidR="00AA311E">
              <w:t>, for example</w:t>
            </w:r>
            <w:r w:rsidR="008C2E61">
              <w:t>,</w:t>
            </w:r>
            <w:r w:rsidR="00814377">
              <w:t xml:space="preserve"> </w:t>
            </w:r>
            <w:hyperlink r:id="rId14" w:history="1">
              <w:r w:rsidR="00814377">
                <w:rPr>
                  <w:rStyle w:val="Hyperlink"/>
                </w:rPr>
                <w:t xml:space="preserve">Riding for </w:t>
              </w:r>
              <w:r w:rsidR="008C2E61">
                <w:rPr>
                  <w:rStyle w:val="Hyperlink"/>
                </w:rPr>
                <w:t xml:space="preserve">the </w:t>
              </w:r>
              <w:r w:rsidR="00814377">
                <w:rPr>
                  <w:rStyle w:val="Hyperlink"/>
                </w:rPr>
                <w:t>Disabled Association Australia (rda.org.au)</w:t>
              </w:r>
            </w:hyperlink>
            <w:r w:rsidR="00814377">
              <w:t>.</w:t>
            </w:r>
          </w:p>
          <w:p w14:paraId="79158EE0" w14:textId="77777777" w:rsidR="00814377" w:rsidRPr="00093FF3" w:rsidRDefault="00814377" w:rsidP="002F681B">
            <w:pPr>
              <w:rPr>
                <w:b/>
                <w:bCs/>
              </w:rPr>
            </w:pPr>
            <w:r w:rsidRPr="00093FF3">
              <w:rPr>
                <w:b/>
                <w:bCs/>
              </w:rPr>
              <w:t>Teacher</w:t>
            </w:r>
          </w:p>
          <w:p w14:paraId="4B171D29" w14:textId="6DAFE8B1" w:rsidR="00814377" w:rsidRDefault="3730CD5F" w:rsidP="002F681B">
            <w:r>
              <w:t xml:space="preserve">Provide students with list of </w:t>
            </w:r>
            <w:hyperlink r:id="rId15">
              <w:r w:rsidR="6A15E85A" w:rsidRPr="69707E99">
                <w:rPr>
                  <w:rStyle w:val="Hyperlink"/>
                </w:rPr>
                <w:t>horse breeds</w:t>
              </w:r>
            </w:hyperlink>
            <w:r w:rsidR="6A15E85A">
              <w:t xml:space="preserve"> used within Australia</w:t>
            </w:r>
            <w:r>
              <w:t xml:space="preserve"> and </w:t>
            </w:r>
            <w:hyperlink r:id="rId16" w:history="1">
              <w:r w:rsidRPr="009F15C0">
                <w:rPr>
                  <w:rStyle w:val="Hyperlink"/>
                </w:rPr>
                <w:t>readings/texts</w:t>
              </w:r>
            </w:hyperlink>
            <w:r>
              <w:t xml:space="preserve"> on each of the </w:t>
            </w:r>
            <w:r>
              <w:lastRenderedPageBreak/>
              <w:t>breeds. Explain that breeds are chosen generally on their suitability for specific activities.</w:t>
            </w:r>
            <w:r w:rsidR="6A15E85A">
              <w:t xml:space="preserve"> For example</w:t>
            </w:r>
            <w:r>
              <w:t>, Stockhorse for farm work/camp drafting. Remind students to use their critical reading strategies such as skimming and scanning, numbering the paragraphs and marking the text.</w:t>
            </w:r>
          </w:p>
          <w:p w14:paraId="50C69C6A" w14:textId="77777777" w:rsidR="00814377" w:rsidRPr="007A0354" w:rsidRDefault="00814377" w:rsidP="002F681B">
            <w:pPr>
              <w:rPr>
                <w:b/>
                <w:bCs/>
              </w:rPr>
            </w:pPr>
            <w:r w:rsidRPr="007A0354">
              <w:rPr>
                <w:b/>
                <w:bCs/>
              </w:rPr>
              <w:t>Student</w:t>
            </w:r>
          </w:p>
          <w:p w14:paraId="3ED0B170" w14:textId="77777777" w:rsidR="00953D35" w:rsidRDefault="00814377" w:rsidP="002F681B">
            <w:r>
              <w:t>Use critical reading strategies to read through information on each breed. Complete a summary table of suitable breeds for different activities. Include the breed, activity it is suited to and characteristics of suitability.</w:t>
            </w:r>
          </w:p>
          <w:p w14:paraId="071031CE" w14:textId="72B9A32D" w:rsidR="00EA1A7A" w:rsidRDefault="00EA1A7A" w:rsidP="002F681B">
            <w:r>
              <w:t>Us</w:t>
            </w:r>
            <w:r w:rsidR="00CA5766">
              <w:t>ing available onsite</w:t>
            </w:r>
            <w:r w:rsidR="00B56C9A">
              <w:t xml:space="preserve"> horses</w:t>
            </w:r>
            <w:r w:rsidR="00CA5766">
              <w:t xml:space="preserve">, students </w:t>
            </w:r>
            <w:r w:rsidR="00DD4E86">
              <w:t>categorise</w:t>
            </w:r>
            <w:r w:rsidR="00BB34B0">
              <w:t xml:space="preserve"> and safely </w:t>
            </w:r>
            <w:r w:rsidR="00BB34B0">
              <w:lastRenderedPageBreak/>
              <w:t>move</w:t>
            </w:r>
            <w:r w:rsidR="00CA5766">
              <w:t xml:space="preserve"> them into groups</w:t>
            </w:r>
            <w:r w:rsidR="00D81B8C">
              <w:t xml:space="preserve">. Groups to be </w:t>
            </w:r>
            <w:r w:rsidR="00723FB2">
              <w:t>determined</w:t>
            </w:r>
            <w:r w:rsidR="00D81B8C">
              <w:t xml:space="preserve"> by teacher and/or students depending on what horses are available to observe. Students</w:t>
            </w:r>
            <w:r w:rsidR="00CA5766">
              <w:t xml:space="preserve"> identif</w:t>
            </w:r>
            <w:r w:rsidR="00723FB2">
              <w:t>y</w:t>
            </w:r>
            <w:r w:rsidR="00CA5766">
              <w:t xml:space="preserve"> the breed</w:t>
            </w:r>
            <w:r w:rsidR="00723FB2">
              <w:t xml:space="preserve"> of each horse</w:t>
            </w:r>
            <w:r w:rsidR="00CA5766">
              <w:t xml:space="preserve"> </w:t>
            </w:r>
            <w:r w:rsidR="00DD4E86">
              <w:t xml:space="preserve">and </w:t>
            </w:r>
            <w:r w:rsidR="00723FB2">
              <w:t xml:space="preserve">the </w:t>
            </w:r>
            <w:r w:rsidR="00DD4E86">
              <w:t>suitable activity, by observing their distinguishing characteristics. Students may use their previously constructed summary table to assist in grouping the horses.</w:t>
            </w:r>
          </w:p>
        </w:tc>
        <w:tc>
          <w:tcPr>
            <w:tcW w:w="1250" w:type="pct"/>
          </w:tcPr>
          <w:p w14:paraId="6777E1B6" w14:textId="25F50D06" w:rsidR="008753E6" w:rsidRDefault="00D639AA" w:rsidP="002F681B">
            <w:r>
              <w:lastRenderedPageBreak/>
              <w:t xml:space="preserve">Students </w:t>
            </w:r>
            <w:r w:rsidR="008753E6">
              <w:t>complete brainstorming activity and discuss</w:t>
            </w:r>
            <w:r w:rsidR="000A154F">
              <w:t xml:space="preserve"> </w:t>
            </w:r>
            <w:r w:rsidR="008753E6">
              <w:t>the use of horses throughout history.</w:t>
            </w:r>
          </w:p>
          <w:p w14:paraId="2BEA5E9D" w14:textId="0DE570B2" w:rsidR="00D43AA9" w:rsidRDefault="008753E6" w:rsidP="002F681B">
            <w:r>
              <w:t xml:space="preserve">Students </w:t>
            </w:r>
            <w:r w:rsidR="005F1F8B">
              <w:t xml:space="preserve">participate in discussion around </w:t>
            </w:r>
            <w:r w:rsidR="008B777E">
              <w:t>the suitability of breeds for each sector/discipline.</w:t>
            </w:r>
          </w:p>
          <w:p w14:paraId="13536768" w14:textId="10F614E3" w:rsidR="003E534D" w:rsidRDefault="00DD641E" w:rsidP="002F681B">
            <w:r>
              <w:t>Students successfully identify specific breeds of horses for each sector of the horse industry.</w:t>
            </w:r>
          </w:p>
        </w:tc>
        <w:tc>
          <w:tcPr>
            <w:tcW w:w="1250" w:type="pct"/>
          </w:tcPr>
          <w:p w14:paraId="01B2C3C5" w14:textId="577CBD79" w:rsidR="00D43AA9" w:rsidRDefault="00D43AA9" w:rsidP="002F681B"/>
        </w:tc>
      </w:tr>
    </w:tbl>
    <w:p w14:paraId="4F0EF0BA" w14:textId="77777777" w:rsidR="00E452CE" w:rsidRPr="00E452CE" w:rsidRDefault="00E452CE" w:rsidP="00E452CE">
      <w:bookmarkStart w:id="11" w:name="_Toc152581509"/>
      <w:r w:rsidRPr="00E452CE">
        <w:lastRenderedPageBreak/>
        <w:br w:type="page"/>
      </w:r>
    </w:p>
    <w:p w14:paraId="03E59590" w14:textId="2C6F90B3" w:rsidR="000C6AE6" w:rsidRDefault="0052601A" w:rsidP="0038203C">
      <w:pPr>
        <w:pStyle w:val="Heading2"/>
      </w:pPr>
      <w:r>
        <w:lastRenderedPageBreak/>
        <w:t>Weeks 4 and 5</w:t>
      </w:r>
      <w:bookmarkEnd w:id="11"/>
    </w:p>
    <w:p w14:paraId="69FC91EC" w14:textId="2B914AE5" w:rsidR="004938BA" w:rsidRDefault="004938BA" w:rsidP="002F681B">
      <w:pPr>
        <w:pStyle w:val="Caption"/>
      </w:pPr>
      <w:r>
        <w:t xml:space="preserve">Table </w:t>
      </w:r>
      <w:r>
        <w:fldChar w:fldCharType="begin"/>
      </w:r>
      <w:r>
        <w:instrText>SEQ Table \* ARABIC</w:instrText>
      </w:r>
      <w:r>
        <w:fldChar w:fldCharType="separate"/>
      </w:r>
      <w:r>
        <w:rPr>
          <w:noProof/>
        </w:rPr>
        <w:t>2</w:t>
      </w:r>
      <w:r>
        <w:fldChar w:fldCharType="end"/>
      </w:r>
      <w:r>
        <w:t xml:space="preserve"> – </w:t>
      </w:r>
      <w:r w:rsidR="008C2E61">
        <w:t>e</w:t>
      </w:r>
      <w:r w:rsidR="00873D29">
        <w:t>quine studies</w:t>
      </w:r>
      <w:r w:rsidR="00511155">
        <w:t xml:space="preserve"> –</w:t>
      </w:r>
      <w:r w:rsidR="00873D29">
        <w:t xml:space="preserve"> </w:t>
      </w:r>
      <w:r w:rsidR="00274F95">
        <w:t>Core 1</w:t>
      </w:r>
      <w:r w:rsidR="0027281D">
        <w:t xml:space="preserve"> –</w:t>
      </w:r>
      <w:r w:rsidR="00274F95">
        <w:t xml:space="preserve"> </w:t>
      </w:r>
      <w:r w:rsidR="00910D33">
        <w:t>t</w:t>
      </w:r>
      <w:r w:rsidR="00873D29">
        <w:t xml:space="preserve">he industry weeks </w:t>
      </w:r>
      <w:r w:rsidR="00274F95">
        <w:t>4 and 5</w:t>
      </w:r>
      <w:r w:rsidR="00873D29">
        <w:t xml:space="preserve"> learning sequence</w:t>
      </w:r>
    </w:p>
    <w:tbl>
      <w:tblPr>
        <w:tblStyle w:val="Tableheader"/>
        <w:tblW w:w="4999" w:type="pct"/>
        <w:tblLayout w:type="fixed"/>
        <w:tblLook w:val="0420" w:firstRow="1" w:lastRow="0" w:firstColumn="0" w:lastColumn="0" w:noHBand="0" w:noVBand="1"/>
        <w:tblDescription w:val="Animal studies outcomes and content are listed in column 1. The other columns show the teaching and learning information, evidence of learning and the adjustments and registrations that relate to the course outcomes. The adjustments and registration column is blank."/>
      </w:tblPr>
      <w:tblGrid>
        <w:gridCol w:w="3639"/>
        <w:gridCol w:w="3640"/>
        <w:gridCol w:w="3640"/>
        <w:gridCol w:w="3640"/>
      </w:tblGrid>
      <w:tr w:rsidR="0074761E" w:rsidRPr="00596434" w14:paraId="1C0AEBCE" w14:textId="77777777" w:rsidTr="000C6AE6">
        <w:trPr>
          <w:cnfStyle w:val="100000000000" w:firstRow="1" w:lastRow="0" w:firstColumn="0" w:lastColumn="0" w:oddVBand="0" w:evenVBand="0" w:oddHBand="0" w:evenHBand="0" w:firstRowFirstColumn="0" w:firstRowLastColumn="0" w:lastRowFirstColumn="0" w:lastRowLastColumn="0"/>
        </w:trPr>
        <w:tc>
          <w:tcPr>
            <w:tcW w:w="1250" w:type="pct"/>
          </w:tcPr>
          <w:p w14:paraId="3DF36254" w14:textId="198F34F8" w:rsidR="0074761E" w:rsidRPr="00596434" w:rsidRDefault="00596434" w:rsidP="002F681B">
            <w:r w:rsidRPr="00596434">
              <w:t>Outcomes and content</w:t>
            </w:r>
          </w:p>
        </w:tc>
        <w:tc>
          <w:tcPr>
            <w:tcW w:w="1250" w:type="pct"/>
          </w:tcPr>
          <w:p w14:paraId="3D10002A" w14:textId="7BB30E0A" w:rsidR="0074761E" w:rsidRPr="00596434" w:rsidRDefault="00596434" w:rsidP="002F681B">
            <w:r w:rsidRPr="00596434">
              <w:t>Teaching and learning</w:t>
            </w:r>
          </w:p>
        </w:tc>
        <w:tc>
          <w:tcPr>
            <w:tcW w:w="1250" w:type="pct"/>
          </w:tcPr>
          <w:p w14:paraId="29E32852" w14:textId="5E4CE4EE" w:rsidR="0074761E" w:rsidRPr="00596434" w:rsidRDefault="00596434" w:rsidP="002F681B">
            <w:r w:rsidRPr="00596434">
              <w:t>Evidence of learning</w:t>
            </w:r>
          </w:p>
        </w:tc>
        <w:tc>
          <w:tcPr>
            <w:tcW w:w="1250" w:type="pct"/>
          </w:tcPr>
          <w:p w14:paraId="0A8E9C32" w14:textId="001705E0" w:rsidR="0074761E" w:rsidRPr="00596434" w:rsidRDefault="00596434" w:rsidP="002F681B">
            <w:r w:rsidRPr="00596434">
              <w:t>Adjustments and registration</w:t>
            </w:r>
          </w:p>
        </w:tc>
      </w:tr>
      <w:tr w:rsidR="00953D35" w14:paraId="39792A7B" w14:textId="77777777" w:rsidTr="000C6AE6">
        <w:trPr>
          <w:cnfStyle w:val="000000100000" w:firstRow="0" w:lastRow="0" w:firstColumn="0" w:lastColumn="0" w:oddVBand="0" w:evenVBand="0" w:oddHBand="1" w:evenHBand="0" w:firstRowFirstColumn="0" w:firstRowLastColumn="0" w:lastRowFirstColumn="0" w:lastRowLastColumn="0"/>
        </w:trPr>
        <w:tc>
          <w:tcPr>
            <w:tcW w:w="1250" w:type="pct"/>
          </w:tcPr>
          <w:p w14:paraId="1BD6C27E" w14:textId="77777777" w:rsidR="00904360" w:rsidRDefault="00904360" w:rsidP="002F681B">
            <w:pPr>
              <w:rPr>
                <w:rStyle w:val="Strong"/>
              </w:rPr>
            </w:pPr>
            <w:r>
              <w:rPr>
                <w:rStyle w:val="Strong"/>
              </w:rPr>
              <w:t>Outcomes</w:t>
            </w:r>
          </w:p>
          <w:p w14:paraId="6E938951" w14:textId="72BEC69F" w:rsidR="00B51030" w:rsidRDefault="00B51030" w:rsidP="002F681B">
            <w:r w:rsidRPr="001D680D">
              <w:rPr>
                <w:rStyle w:val="Strong"/>
              </w:rPr>
              <w:t>AS-2</w:t>
            </w:r>
          </w:p>
          <w:p w14:paraId="1F4BE923" w14:textId="09387F2A" w:rsidR="00904360" w:rsidRPr="00351A13" w:rsidRDefault="00904360" w:rsidP="002F681B">
            <w:pPr>
              <w:rPr>
                <w:b/>
                <w:bCs/>
              </w:rPr>
            </w:pPr>
            <w:r w:rsidRPr="00351A13">
              <w:rPr>
                <w:b/>
                <w:bCs/>
              </w:rPr>
              <w:t>Content</w:t>
            </w:r>
          </w:p>
          <w:p w14:paraId="509941DD" w14:textId="3C518AF0" w:rsidR="001A750D" w:rsidRDefault="001A750D" w:rsidP="002F681B">
            <w:r>
              <w:t>Students:</w:t>
            </w:r>
          </w:p>
          <w:p w14:paraId="6F377E6C" w14:textId="77777777" w:rsidR="00926FB1" w:rsidRDefault="00926FB1" w:rsidP="002F681B">
            <w:pPr>
              <w:pStyle w:val="ListBullet"/>
            </w:pPr>
            <w:r>
              <w:t>outline the history and significance of the industry, including</w:t>
            </w:r>
          </w:p>
          <w:p w14:paraId="3EF9ED58" w14:textId="77777777" w:rsidR="00926FB1" w:rsidRPr="00910D33" w:rsidRDefault="00926FB1" w:rsidP="00910D33">
            <w:pPr>
              <w:pStyle w:val="ListBullet2"/>
              <w:ind w:left="1164" w:hanging="567"/>
            </w:pPr>
            <w:r w:rsidRPr="00910D33">
              <w:t>significant historical factors that have shaped the industry</w:t>
            </w:r>
          </w:p>
          <w:p w14:paraId="4DA2FC72" w14:textId="77777777" w:rsidR="00926FB1" w:rsidRPr="00910D33" w:rsidRDefault="00926FB1" w:rsidP="00910D33">
            <w:pPr>
              <w:pStyle w:val="ListBullet2"/>
              <w:ind w:left="1164" w:hanging="567"/>
            </w:pPr>
            <w:r w:rsidRPr="00910D33">
              <w:t>how animal specifications have changed over time</w:t>
            </w:r>
          </w:p>
          <w:p w14:paraId="3C2A642C" w14:textId="5592E5CC" w:rsidR="001A750D" w:rsidRPr="00D639AA" w:rsidRDefault="2E14015E" w:rsidP="00910D33">
            <w:pPr>
              <w:pStyle w:val="ListBullet2"/>
              <w:ind w:left="1164" w:hanging="567"/>
            </w:pPr>
            <w:r w:rsidRPr="00910D33">
              <w:t xml:space="preserve">the importance of the </w:t>
            </w:r>
            <w:r w:rsidRPr="00910D33">
              <w:lastRenderedPageBreak/>
              <w:t>industry to the Australian</w:t>
            </w:r>
            <w:r w:rsidR="49258F36" w:rsidRPr="00910D33">
              <w:t xml:space="preserve"> culture and economy</w:t>
            </w:r>
            <w:r w:rsidR="00124C06" w:rsidRPr="00910D33">
              <w:t>.</w:t>
            </w:r>
          </w:p>
        </w:tc>
        <w:tc>
          <w:tcPr>
            <w:tcW w:w="1250" w:type="pct"/>
          </w:tcPr>
          <w:p w14:paraId="73F52A5F" w14:textId="77777777" w:rsidR="009F76F7" w:rsidRPr="003F0CB7" w:rsidRDefault="009F76F7" w:rsidP="002F681B">
            <w:pPr>
              <w:rPr>
                <w:rStyle w:val="Strong"/>
              </w:rPr>
            </w:pPr>
            <w:r w:rsidRPr="003F0CB7">
              <w:rPr>
                <w:rStyle w:val="Strong"/>
              </w:rPr>
              <w:lastRenderedPageBreak/>
              <w:t>Teacher</w:t>
            </w:r>
          </w:p>
          <w:p w14:paraId="1F676817" w14:textId="4BA4053F" w:rsidR="009F76F7" w:rsidRDefault="00A906B0" w:rsidP="002F681B">
            <w:r>
              <w:t>E</w:t>
            </w:r>
            <w:r w:rsidR="009F76F7">
              <w:t>xplain the evolution of the horse. Draw students’ attention to the relationship between the anatomical changes and the change in the use of horses and how these are related.</w:t>
            </w:r>
          </w:p>
          <w:p w14:paraId="5D10EB48" w14:textId="33A4EC89" w:rsidR="009F76F7" w:rsidRDefault="009F76F7" w:rsidP="002F681B">
            <w:r>
              <w:t xml:space="preserve">Remind </w:t>
            </w:r>
            <w:r w:rsidR="00124C06">
              <w:t xml:space="preserve">students of critical reading strategies </w:t>
            </w:r>
            <w:r>
              <w:t xml:space="preserve">and demonstrate </w:t>
            </w:r>
            <w:r w:rsidR="00124C06">
              <w:t>these</w:t>
            </w:r>
            <w:r>
              <w:t xml:space="preserve"> strategies </w:t>
            </w:r>
            <w:r w:rsidR="00124C06">
              <w:t xml:space="preserve">for </w:t>
            </w:r>
            <w:r>
              <w:t xml:space="preserve">students to use when </w:t>
            </w:r>
            <w:r w:rsidR="000E058A">
              <w:t xml:space="preserve">accessing </w:t>
            </w:r>
            <w:hyperlink r:id="rId17" w:history="1">
              <w:r w:rsidR="000E058A">
                <w:rPr>
                  <w:rStyle w:val="Hyperlink"/>
                </w:rPr>
                <w:t>Evolution of the horse</w:t>
              </w:r>
            </w:hyperlink>
            <w:r w:rsidR="0090586A" w:rsidRPr="0090586A">
              <w:rPr>
                <w:rStyle w:val="Hyperlink"/>
                <w:u w:val="none"/>
              </w:rPr>
              <w:t>.</w:t>
            </w:r>
          </w:p>
          <w:p w14:paraId="235DC457" w14:textId="7B887222" w:rsidR="00237BE3" w:rsidRDefault="009F76F7" w:rsidP="002F681B">
            <w:r>
              <w:t xml:space="preserve">Support students in creating a timeline of the key events and developments in Australian history </w:t>
            </w:r>
            <w:r w:rsidR="00237BE3">
              <w:t>for</w:t>
            </w:r>
            <w:r>
              <w:t xml:space="preserve"> the use of horses. This can include the arrival of horses in </w:t>
            </w:r>
            <w:r>
              <w:lastRenderedPageBreak/>
              <w:t>Australia, their use in war, transportation, sport and recreation. Students to present their timelines to the class, discussing the significant events and contributions of the horses in each period.</w:t>
            </w:r>
          </w:p>
          <w:p w14:paraId="5D4679D4" w14:textId="3DB9FE4E" w:rsidR="009F76F7" w:rsidRDefault="009F76F7" w:rsidP="002F681B">
            <w:pPr>
              <w:rPr>
                <w:rStyle w:val="Strong"/>
              </w:rPr>
            </w:pPr>
            <w:r w:rsidRPr="003F0CB7">
              <w:rPr>
                <w:rStyle w:val="Strong"/>
              </w:rPr>
              <w:t>Student</w:t>
            </w:r>
          </w:p>
          <w:p w14:paraId="73BCA1F0" w14:textId="3C8F7DE9" w:rsidR="009F76F7" w:rsidRDefault="00703817" w:rsidP="002F681B">
            <w:r>
              <w:t xml:space="preserve">Access </w:t>
            </w:r>
            <w:hyperlink r:id="rId18" w:history="1">
              <w:r>
                <w:rPr>
                  <w:rStyle w:val="Hyperlink"/>
                </w:rPr>
                <w:t>Evolution of the horse</w:t>
              </w:r>
            </w:hyperlink>
            <w:r w:rsidR="00346361">
              <w:t xml:space="preserve"> and u</w:t>
            </w:r>
            <w:r w:rsidR="009F76F7">
              <w:t>se critical reading strategies including skimming and scanning, numbering the paragraphs, marking the text and writing in the margins</w:t>
            </w:r>
            <w:r w:rsidR="00346361">
              <w:t xml:space="preserve"> to </w:t>
            </w:r>
            <w:r w:rsidR="007B52CF">
              <w:t xml:space="preserve">understand and </w:t>
            </w:r>
            <w:r w:rsidR="0004103B">
              <w:t>record</w:t>
            </w:r>
            <w:r w:rsidR="00346361">
              <w:t xml:space="preserve"> the main idea</w:t>
            </w:r>
            <w:r w:rsidR="005808A3">
              <w:t>s</w:t>
            </w:r>
            <w:r w:rsidR="00346361">
              <w:t xml:space="preserve"> of the text.</w:t>
            </w:r>
          </w:p>
          <w:p w14:paraId="269D71EB" w14:textId="13F5E1A4" w:rsidR="009F76F7" w:rsidRDefault="009F76F7" w:rsidP="002F681B">
            <w:r>
              <w:t>Develop a timeline to organise the significant changes to the horse and the industry over time. Include the following:</w:t>
            </w:r>
          </w:p>
          <w:p w14:paraId="0128166C" w14:textId="77777777" w:rsidR="009F76F7" w:rsidRPr="00F0058B" w:rsidRDefault="009F76F7" w:rsidP="00910D33">
            <w:pPr>
              <w:pStyle w:val="ListBullet"/>
              <w:rPr>
                <w:rStyle w:val="Strong"/>
                <w:b w:val="0"/>
              </w:rPr>
            </w:pPr>
            <w:r>
              <w:rPr>
                <w:rStyle w:val="Strong"/>
                <w:b w:val="0"/>
              </w:rPr>
              <w:lastRenderedPageBreak/>
              <w:t>t</w:t>
            </w:r>
            <w:r w:rsidRPr="00F0058B">
              <w:rPr>
                <w:rStyle w:val="Strong"/>
                <w:b w:val="0"/>
              </w:rPr>
              <w:t xml:space="preserve">he </w:t>
            </w:r>
            <w:r w:rsidRPr="00910D33">
              <w:rPr>
                <w:rStyle w:val="Strong"/>
                <w:b w:val="0"/>
                <w:bCs w:val="0"/>
              </w:rPr>
              <w:t>evolution</w:t>
            </w:r>
            <w:r w:rsidRPr="00F0058B">
              <w:rPr>
                <w:rStyle w:val="Strong"/>
                <w:b w:val="0"/>
              </w:rPr>
              <w:t xml:space="preserve"> of the horse</w:t>
            </w:r>
          </w:p>
          <w:p w14:paraId="63748E5A" w14:textId="4824694D" w:rsidR="009F76F7" w:rsidRDefault="009F76F7" w:rsidP="00910D33">
            <w:pPr>
              <w:pStyle w:val="ListBullet"/>
              <w:rPr>
                <w:rStyle w:val="Strong"/>
              </w:rPr>
            </w:pPr>
            <w:r w:rsidRPr="73FE210B">
              <w:rPr>
                <w:rStyle w:val="Strong"/>
                <w:b w:val="0"/>
              </w:rPr>
              <w:t xml:space="preserve">the </w:t>
            </w:r>
            <w:r w:rsidRPr="00910D33">
              <w:rPr>
                <w:rStyle w:val="Strong"/>
                <w:b w:val="0"/>
                <w:bCs w:val="0"/>
              </w:rPr>
              <w:t>significant</w:t>
            </w:r>
            <w:r w:rsidRPr="73FE210B">
              <w:rPr>
                <w:rStyle w:val="Strong"/>
                <w:b w:val="0"/>
              </w:rPr>
              <w:t xml:space="preserve"> anatomical changes that occur at different stages of time</w:t>
            </w:r>
          </w:p>
          <w:p w14:paraId="311FBD54" w14:textId="54A35671" w:rsidR="00DF63DD" w:rsidRDefault="009F76F7" w:rsidP="00910D33">
            <w:pPr>
              <w:pStyle w:val="ListBullet"/>
              <w:rPr>
                <w:rStyle w:val="Strong"/>
                <w:b w:val="0"/>
              </w:rPr>
            </w:pPr>
            <w:r w:rsidRPr="73FE210B">
              <w:rPr>
                <w:rStyle w:val="Strong"/>
                <w:b w:val="0"/>
              </w:rPr>
              <w:t xml:space="preserve">the key uses of the horse in Australian history, </w:t>
            </w:r>
            <w:proofErr w:type="gramStart"/>
            <w:r w:rsidRPr="73FE210B">
              <w:rPr>
                <w:rStyle w:val="Strong"/>
                <w:b w:val="0"/>
              </w:rPr>
              <w:t>including</w:t>
            </w:r>
            <w:r w:rsidR="00316EEC">
              <w:rPr>
                <w:rStyle w:val="Strong"/>
                <w:b w:val="0"/>
              </w:rPr>
              <w:t>:</w:t>
            </w:r>
            <w:proofErr w:type="gramEnd"/>
            <w:r w:rsidRPr="73FE210B">
              <w:rPr>
                <w:rStyle w:val="Strong"/>
                <w:b w:val="0"/>
              </w:rPr>
              <w:t xml:space="preserve"> war horses, carriage horses</w:t>
            </w:r>
            <w:r w:rsidR="00237BE3">
              <w:rPr>
                <w:rStyle w:val="Strong"/>
                <w:b w:val="0"/>
              </w:rPr>
              <w:t xml:space="preserve"> and </w:t>
            </w:r>
            <w:r w:rsidR="00B37979" w:rsidRPr="00B37979">
              <w:t>other appropriate examples</w:t>
            </w:r>
            <w:r w:rsidRPr="00B37979">
              <w:t>.</w:t>
            </w:r>
          </w:p>
          <w:p w14:paraId="3198AD07" w14:textId="7CD85032" w:rsidR="00D76B7D" w:rsidRDefault="00A60D0E" w:rsidP="002F681B">
            <w:pPr>
              <w:pStyle w:val="ListBullet"/>
              <w:numPr>
                <w:ilvl w:val="0"/>
                <w:numId w:val="0"/>
              </w:numPr>
            </w:pPr>
            <w:r>
              <w:t>O</w:t>
            </w:r>
            <w:r w:rsidR="00D445B2">
              <w:t xml:space="preserve">bserve the horses available onsite. Using their knowledge of the evolution of the horse, identify key </w:t>
            </w:r>
            <w:r w:rsidR="006F1644">
              <w:t>anatomical features of the horses that have developed over time and predict how these may have once looked in the earlier stages of evolution.</w:t>
            </w:r>
          </w:p>
          <w:p w14:paraId="35290543" w14:textId="0FD0505A" w:rsidR="00DF63DD" w:rsidRDefault="00D76B7D" w:rsidP="002F681B">
            <w:pPr>
              <w:pStyle w:val="ListBullet"/>
              <w:numPr>
                <w:ilvl w:val="0"/>
                <w:numId w:val="0"/>
              </w:numPr>
            </w:pPr>
            <w:r>
              <w:t>S</w:t>
            </w:r>
            <w:r w:rsidR="001D7F37">
              <w:t>ketch the prediction</w:t>
            </w:r>
            <w:r w:rsidR="005079CD">
              <w:t>s</w:t>
            </w:r>
            <w:r w:rsidR="001D7F37">
              <w:t xml:space="preserve"> annotating </w:t>
            </w:r>
            <w:r w:rsidR="001B6BCD">
              <w:t xml:space="preserve">changes in </w:t>
            </w:r>
            <w:r w:rsidR="00BB34B0">
              <w:t>anatomical</w:t>
            </w:r>
            <w:r w:rsidR="001B6BCD">
              <w:t xml:space="preserve"> features.</w:t>
            </w:r>
          </w:p>
        </w:tc>
        <w:tc>
          <w:tcPr>
            <w:tcW w:w="1250" w:type="pct"/>
          </w:tcPr>
          <w:p w14:paraId="01BB9ACF" w14:textId="62A61A0C" w:rsidR="00953D35" w:rsidRDefault="33F665A0" w:rsidP="002F681B">
            <w:r>
              <w:lastRenderedPageBreak/>
              <w:t xml:space="preserve">Students correctly organise information into a sequential form </w:t>
            </w:r>
            <w:r w:rsidR="73BF49F0">
              <w:t>showing the changes of horse</w:t>
            </w:r>
            <w:r w:rsidR="2D35C3CE">
              <w:t>s</w:t>
            </w:r>
            <w:r w:rsidR="73BF49F0">
              <w:t xml:space="preserve"> and the industry over time.</w:t>
            </w:r>
          </w:p>
        </w:tc>
        <w:tc>
          <w:tcPr>
            <w:tcW w:w="1250" w:type="pct"/>
          </w:tcPr>
          <w:p w14:paraId="152EA4E9" w14:textId="0B200C3A" w:rsidR="00953D35" w:rsidRDefault="00953D35" w:rsidP="002F681B"/>
        </w:tc>
      </w:tr>
    </w:tbl>
    <w:p w14:paraId="172F5B27" w14:textId="438185B2" w:rsidR="00941BF6" w:rsidRDefault="00407D2F" w:rsidP="0038203C">
      <w:pPr>
        <w:pStyle w:val="Heading2"/>
      </w:pPr>
      <w:bookmarkStart w:id="12" w:name="_Toc152581510"/>
      <w:r>
        <w:lastRenderedPageBreak/>
        <w:t>Weeks 6–8</w:t>
      </w:r>
      <w:bookmarkEnd w:id="12"/>
    </w:p>
    <w:p w14:paraId="10216E0F" w14:textId="3EEC157E" w:rsidR="004938BA" w:rsidRDefault="004938BA" w:rsidP="008C2E61">
      <w:pPr>
        <w:pStyle w:val="Caption"/>
      </w:pPr>
      <w:r>
        <w:t xml:space="preserve">Table </w:t>
      </w:r>
      <w:r>
        <w:fldChar w:fldCharType="begin"/>
      </w:r>
      <w:r>
        <w:instrText>SEQ Table \* ARABIC</w:instrText>
      </w:r>
      <w:r>
        <w:fldChar w:fldCharType="separate"/>
      </w:r>
      <w:r>
        <w:rPr>
          <w:noProof/>
        </w:rPr>
        <w:t>3</w:t>
      </w:r>
      <w:r>
        <w:fldChar w:fldCharType="end"/>
      </w:r>
      <w:r>
        <w:t xml:space="preserve"> – </w:t>
      </w:r>
      <w:r w:rsidR="008C2E61">
        <w:t>e</w:t>
      </w:r>
      <w:r w:rsidR="00274F95">
        <w:t>quine studies</w:t>
      </w:r>
      <w:r w:rsidR="00511155">
        <w:t xml:space="preserve"> –</w:t>
      </w:r>
      <w:r w:rsidR="00274F95">
        <w:t xml:space="preserve"> Core 1</w:t>
      </w:r>
      <w:r w:rsidR="00D60C63">
        <w:t xml:space="preserve"> –</w:t>
      </w:r>
      <w:r w:rsidR="00274F95">
        <w:t xml:space="preserve"> </w:t>
      </w:r>
      <w:r w:rsidR="00910D33">
        <w:t>t</w:t>
      </w:r>
      <w:r w:rsidR="00274F95">
        <w:t>he industry weeks 6–8 learning sequence</w:t>
      </w:r>
    </w:p>
    <w:tbl>
      <w:tblPr>
        <w:tblStyle w:val="Tableheader"/>
        <w:tblW w:w="4998" w:type="pct"/>
        <w:tblLayout w:type="fixed"/>
        <w:tblLook w:val="0420" w:firstRow="1" w:lastRow="0" w:firstColumn="0" w:lastColumn="0" w:noHBand="0" w:noVBand="1"/>
        <w:tblDescription w:val="Animal studies outcomes and content are listed in column 1. The other columns show the teaching and learning information, evidence of learning and the adjustments and registrations that relate to the course outcomes. The adjustments and registration column is blank."/>
      </w:tblPr>
      <w:tblGrid>
        <w:gridCol w:w="3639"/>
        <w:gridCol w:w="3639"/>
        <w:gridCol w:w="3639"/>
        <w:gridCol w:w="3639"/>
      </w:tblGrid>
      <w:tr w:rsidR="00941BF6" w:rsidRPr="00407D2F" w14:paraId="1DBB2140" w14:textId="77777777" w:rsidTr="00941BF6">
        <w:trPr>
          <w:cnfStyle w:val="100000000000" w:firstRow="1" w:lastRow="0" w:firstColumn="0" w:lastColumn="0" w:oddVBand="0" w:evenVBand="0" w:oddHBand="0" w:evenHBand="0" w:firstRowFirstColumn="0" w:firstRowLastColumn="0" w:lastRowFirstColumn="0" w:lastRowLastColumn="0"/>
        </w:trPr>
        <w:tc>
          <w:tcPr>
            <w:tcW w:w="1250" w:type="pct"/>
          </w:tcPr>
          <w:p w14:paraId="17258C88" w14:textId="74501E98" w:rsidR="00941BF6" w:rsidRPr="00407D2F" w:rsidRDefault="004938BA" w:rsidP="00407D2F">
            <w:r>
              <w:t>Outcomes and content</w:t>
            </w:r>
          </w:p>
        </w:tc>
        <w:tc>
          <w:tcPr>
            <w:tcW w:w="1250" w:type="pct"/>
          </w:tcPr>
          <w:p w14:paraId="168CF741" w14:textId="5D6B9B01" w:rsidR="00941BF6" w:rsidRPr="00407D2F" w:rsidRDefault="004938BA" w:rsidP="00407D2F">
            <w:r>
              <w:t>Teaching and learning</w:t>
            </w:r>
          </w:p>
        </w:tc>
        <w:tc>
          <w:tcPr>
            <w:tcW w:w="1250" w:type="pct"/>
          </w:tcPr>
          <w:p w14:paraId="38F634C8" w14:textId="50020893" w:rsidR="00941BF6" w:rsidRPr="00407D2F" w:rsidRDefault="004938BA" w:rsidP="00407D2F">
            <w:r>
              <w:t>Evidence of learning</w:t>
            </w:r>
          </w:p>
        </w:tc>
        <w:tc>
          <w:tcPr>
            <w:tcW w:w="1250" w:type="pct"/>
          </w:tcPr>
          <w:p w14:paraId="5853B106" w14:textId="009D448D" w:rsidR="00941BF6" w:rsidRPr="00407D2F" w:rsidRDefault="004938BA" w:rsidP="00407D2F">
            <w:r>
              <w:t>Adjustments and registration</w:t>
            </w:r>
          </w:p>
        </w:tc>
      </w:tr>
      <w:tr w:rsidR="008018F5" w14:paraId="6BD2BC0B" w14:textId="77777777" w:rsidTr="00941BF6">
        <w:trPr>
          <w:cnfStyle w:val="000000100000" w:firstRow="0" w:lastRow="0" w:firstColumn="0" w:lastColumn="0" w:oddVBand="0" w:evenVBand="0" w:oddHBand="1" w:evenHBand="0" w:firstRowFirstColumn="0" w:firstRowLastColumn="0" w:lastRowFirstColumn="0" w:lastRowLastColumn="0"/>
        </w:trPr>
        <w:tc>
          <w:tcPr>
            <w:tcW w:w="1250" w:type="pct"/>
          </w:tcPr>
          <w:p w14:paraId="337564A2" w14:textId="446DCC11" w:rsidR="00904360" w:rsidRDefault="00904360" w:rsidP="003F0CB7">
            <w:pPr>
              <w:rPr>
                <w:rStyle w:val="Strong"/>
              </w:rPr>
            </w:pPr>
            <w:r>
              <w:rPr>
                <w:rStyle w:val="Strong"/>
              </w:rPr>
              <w:t>Outcomes</w:t>
            </w:r>
          </w:p>
          <w:p w14:paraId="1D95F4E9" w14:textId="3281AA77" w:rsidR="008018F5" w:rsidRPr="0042348C" w:rsidRDefault="008018F5" w:rsidP="003F0CB7">
            <w:r w:rsidRPr="001D680D">
              <w:rPr>
                <w:rStyle w:val="Strong"/>
              </w:rPr>
              <w:t>AS-5</w:t>
            </w:r>
          </w:p>
          <w:p w14:paraId="7E05E40B" w14:textId="77777777" w:rsidR="00904360" w:rsidRPr="00351A13" w:rsidRDefault="00904360" w:rsidP="008018F5">
            <w:pPr>
              <w:rPr>
                <w:b/>
                <w:bCs/>
              </w:rPr>
            </w:pPr>
            <w:r w:rsidRPr="00351A13">
              <w:rPr>
                <w:b/>
                <w:bCs/>
              </w:rPr>
              <w:t>Content</w:t>
            </w:r>
          </w:p>
          <w:p w14:paraId="5649761B" w14:textId="036CBFC7" w:rsidR="008018F5" w:rsidRDefault="008018F5" w:rsidP="008018F5">
            <w:r>
              <w:t>Students:</w:t>
            </w:r>
          </w:p>
          <w:p w14:paraId="22550FD6" w14:textId="77777777" w:rsidR="00285380" w:rsidRDefault="00285380" w:rsidP="00285380">
            <w:pPr>
              <w:pStyle w:val="ListBullet"/>
            </w:pPr>
            <w:r>
              <w:t>understand the industry and its organisation, including</w:t>
            </w:r>
          </w:p>
          <w:p w14:paraId="344D4A20" w14:textId="77777777" w:rsidR="00285380" w:rsidRPr="00910D33" w:rsidRDefault="00285380" w:rsidP="00910D33">
            <w:pPr>
              <w:pStyle w:val="ListBullet2"/>
              <w:ind w:left="1164" w:hanging="567"/>
            </w:pPr>
            <w:r w:rsidRPr="00910D33">
              <w:t>how the industry operates</w:t>
            </w:r>
          </w:p>
          <w:p w14:paraId="14218F1C" w14:textId="77777777" w:rsidR="00285380" w:rsidRPr="00910D33" w:rsidRDefault="00285380" w:rsidP="00910D33">
            <w:pPr>
              <w:pStyle w:val="ListBullet2"/>
              <w:ind w:left="1164" w:hanging="567"/>
            </w:pPr>
            <w:r w:rsidRPr="00910D33">
              <w:t>knowing the stakeholders and the role each plays in the industry</w:t>
            </w:r>
          </w:p>
          <w:p w14:paraId="667BE4B6" w14:textId="77777777" w:rsidR="00285380" w:rsidRPr="00910D33" w:rsidRDefault="00285380" w:rsidP="00910D33">
            <w:pPr>
              <w:pStyle w:val="ListBullet2"/>
              <w:ind w:left="1164" w:hanging="567"/>
            </w:pPr>
            <w:r w:rsidRPr="00910D33">
              <w:t xml:space="preserve">the role of the government and </w:t>
            </w:r>
            <w:r w:rsidRPr="00910D33">
              <w:lastRenderedPageBreak/>
              <w:t>legislation in the industry</w:t>
            </w:r>
          </w:p>
          <w:p w14:paraId="52954E03" w14:textId="77777777" w:rsidR="00890098" w:rsidRPr="00910D33" w:rsidRDefault="00285380" w:rsidP="00910D33">
            <w:pPr>
              <w:pStyle w:val="ListBullet2"/>
              <w:ind w:left="1164" w:hanging="567"/>
            </w:pPr>
            <w:r w:rsidRPr="00910D33">
              <w:t>overview of compliance and how it impacts each stakeholder</w:t>
            </w:r>
          </w:p>
          <w:p w14:paraId="7A20914F" w14:textId="30299E41" w:rsidR="008018F5" w:rsidRDefault="00285380" w:rsidP="00910D33">
            <w:pPr>
              <w:pStyle w:val="ListBullet2"/>
              <w:ind w:left="1164" w:hanging="567"/>
            </w:pPr>
            <w:r w:rsidRPr="00910D33">
              <w:t>contribution of the industry to Australia’s economy.</w:t>
            </w:r>
          </w:p>
        </w:tc>
        <w:tc>
          <w:tcPr>
            <w:tcW w:w="1250" w:type="pct"/>
          </w:tcPr>
          <w:p w14:paraId="4F5C1B32" w14:textId="77777777" w:rsidR="008018F5" w:rsidRPr="003F0CB7" w:rsidRDefault="008018F5" w:rsidP="008018F5">
            <w:pPr>
              <w:rPr>
                <w:rStyle w:val="Strong"/>
              </w:rPr>
            </w:pPr>
            <w:r w:rsidRPr="003F0CB7">
              <w:rPr>
                <w:rStyle w:val="Strong"/>
              </w:rPr>
              <w:lastRenderedPageBreak/>
              <w:t>Teacher</w:t>
            </w:r>
          </w:p>
          <w:p w14:paraId="1B8C322C" w14:textId="77777777" w:rsidR="008018F5" w:rsidRDefault="008018F5" w:rsidP="008018F5">
            <w:r>
              <w:t xml:space="preserve">Provide students with a </w:t>
            </w:r>
            <w:hyperlink r:id="rId19">
              <w:r w:rsidRPr="45E9AA50">
                <w:rPr>
                  <w:rStyle w:val="Hyperlink"/>
                </w:rPr>
                <w:t>KWL Chart</w:t>
              </w:r>
            </w:hyperlink>
            <w:r>
              <w:t>. Initiate a class discussion about what they already know about the organisation of the industry.</w:t>
            </w:r>
          </w:p>
          <w:p w14:paraId="6C6D6FC3" w14:textId="77777777" w:rsidR="008018F5" w:rsidRPr="003F0CB7" w:rsidRDefault="008018F5" w:rsidP="008018F5">
            <w:pPr>
              <w:rPr>
                <w:rStyle w:val="Strong"/>
              </w:rPr>
            </w:pPr>
            <w:r w:rsidRPr="003F0CB7">
              <w:rPr>
                <w:rStyle w:val="Strong"/>
              </w:rPr>
              <w:t>Students</w:t>
            </w:r>
          </w:p>
          <w:p w14:paraId="3D658B5E" w14:textId="77777777" w:rsidR="008018F5" w:rsidRPr="009C2C09" w:rsidRDefault="008018F5" w:rsidP="008018F5">
            <w:pPr>
              <w:rPr>
                <w:rStyle w:val="Strong"/>
                <w:b w:val="0"/>
              </w:rPr>
            </w:pPr>
            <w:r w:rsidRPr="009C2C09">
              <w:rPr>
                <w:rStyle w:val="Strong"/>
                <w:b w:val="0"/>
              </w:rPr>
              <w:t xml:space="preserve">Complete the ‘What I know’ column of their own </w:t>
            </w:r>
            <w:hyperlink r:id="rId20" w:history="1">
              <w:r w:rsidRPr="00DE2EE8">
                <w:rPr>
                  <w:rStyle w:val="Hyperlink"/>
                </w:rPr>
                <w:t>KWL Chart</w:t>
              </w:r>
            </w:hyperlink>
            <w:r>
              <w:rPr>
                <w:rStyle w:val="Strong"/>
                <w:b w:val="0"/>
              </w:rPr>
              <w:t xml:space="preserve"> with everything they know about the organisation of the industry.</w:t>
            </w:r>
          </w:p>
          <w:p w14:paraId="7BA074FA" w14:textId="77777777" w:rsidR="008018F5" w:rsidRPr="003F0CB7" w:rsidRDefault="008018F5" w:rsidP="008018F5">
            <w:pPr>
              <w:rPr>
                <w:rStyle w:val="Strong"/>
              </w:rPr>
            </w:pPr>
            <w:r w:rsidRPr="003F0CB7">
              <w:rPr>
                <w:rStyle w:val="Strong"/>
              </w:rPr>
              <w:t>Teacher</w:t>
            </w:r>
          </w:p>
          <w:p w14:paraId="55B4A73C" w14:textId="09F323A1" w:rsidR="008018F5" w:rsidRDefault="008018F5" w:rsidP="008018F5">
            <w:pPr>
              <w:rPr>
                <w:rStyle w:val="Strong"/>
                <w:b w:val="0"/>
              </w:rPr>
            </w:pPr>
            <w:r>
              <w:rPr>
                <w:rStyle w:val="Strong"/>
                <w:b w:val="0"/>
              </w:rPr>
              <w:t xml:space="preserve">Discuss with the class about what they want to learn in relation to </w:t>
            </w:r>
            <w:r w:rsidRPr="006D6BA9">
              <w:rPr>
                <w:rStyle w:val="Strong"/>
                <w:b w:val="0"/>
              </w:rPr>
              <w:t xml:space="preserve">the </w:t>
            </w:r>
            <w:hyperlink r:id="rId21" w:history="1">
              <w:r w:rsidR="00047DE7">
                <w:rPr>
                  <w:rStyle w:val="Hyperlink"/>
                </w:rPr>
                <w:t xml:space="preserve">Code of practice for the horse </w:t>
              </w:r>
              <w:r w:rsidR="00047DE7">
                <w:rPr>
                  <w:rStyle w:val="Hyperlink"/>
                </w:rPr>
                <w:lastRenderedPageBreak/>
                <w:t>industry [PDF 634</w:t>
              </w:r>
              <w:r w:rsidR="00192975">
                <w:rPr>
                  <w:rStyle w:val="Hyperlink"/>
                </w:rPr>
                <w:t> </w:t>
              </w:r>
              <w:r w:rsidR="0090586A">
                <w:rPr>
                  <w:rStyle w:val="Hyperlink"/>
                </w:rPr>
                <w:t>KB</w:t>
              </w:r>
              <w:r w:rsidR="00047DE7">
                <w:rPr>
                  <w:rStyle w:val="Hyperlink"/>
                </w:rPr>
                <w:t>]</w:t>
              </w:r>
            </w:hyperlink>
            <w:r>
              <w:rPr>
                <w:rStyle w:val="Strong"/>
                <w:b w:val="0"/>
              </w:rPr>
              <w:t>.</w:t>
            </w:r>
          </w:p>
          <w:p w14:paraId="0E8091ED" w14:textId="72D29C21" w:rsidR="008018F5" w:rsidRDefault="006A34B6" w:rsidP="008018F5">
            <w:pPr>
              <w:rPr>
                <w:rStyle w:val="Strong"/>
                <w:b w:val="0"/>
              </w:rPr>
            </w:pPr>
            <w:r>
              <w:rPr>
                <w:rStyle w:val="Strong"/>
                <w:b w:val="0"/>
              </w:rPr>
              <w:t>Explain</w:t>
            </w:r>
            <w:r w:rsidR="008018F5">
              <w:rPr>
                <w:rStyle w:val="Strong"/>
                <w:b w:val="0"/>
              </w:rPr>
              <w:t xml:space="preserve"> the difference between </w:t>
            </w:r>
            <w:hyperlink r:id="rId22" w:history="1">
              <w:r w:rsidR="008018F5" w:rsidRPr="00A5223D">
                <w:rPr>
                  <w:rStyle w:val="Hyperlink"/>
                </w:rPr>
                <w:t>policy and legislation</w:t>
              </w:r>
              <w:r w:rsidR="008018F5" w:rsidRPr="0038203C">
                <w:t>.</w:t>
              </w:r>
            </w:hyperlink>
          </w:p>
          <w:p w14:paraId="756ADE80" w14:textId="77777777" w:rsidR="008018F5" w:rsidRPr="003F0CB7" w:rsidRDefault="008018F5" w:rsidP="008018F5">
            <w:pPr>
              <w:rPr>
                <w:rStyle w:val="Strong"/>
                <w:bCs w:val="0"/>
              </w:rPr>
            </w:pPr>
            <w:r w:rsidRPr="003F0CB7">
              <w:rPr>
                <w:rStyle w:val="Strong"/>
              </w:rPr>
              <w:t>Student</w:t>
            </w:r>
          </w:p>
          <w:p w14:paraId="1FE6D78D" w14:textId="77777777" w:rsidR="008018F5" w:rsidRDefault="008018F5" w:rsidP="008018F5">
            <w:pPr>
              <w:rPr>
                <w:rStyle w:val="Strong"/>
                <w:b w:val="0"/>
              </w:rPr>
            </w:pPr>
            <w:r>
              <w:rPr>
                <w:rStyle w:val="Strong"/>
                <w:b w:val="0"/>
              </w:rPr>
              <w:t>Discuss with a partner what they want to know about the policy and legislation relevant to the horse industry.</w:t>
            </w:r>
          </w:p>
          <w:p w14:paraId="75E80A38" w14:textId="3D06EB42" w:rsidR="008018F5" w:rsidRDefault="008018F5" w:rsidP="008018F5">
            <w:pPr>
              <w:rPr>
                <w:rStyle w:val="Strong"/>
                <w:b w:val="0"/>
              </w:rPr>
            </w:pPr>
            <w:r>
              <w:rPr>
                <w:rStyle w:val="Strong"/>
                <w:b w:val="0"/>
              </w:rPr>
              <w:t xml:space="preserve">Complete the ‘Want </w:t>
            </w:r>
            <w:r w:rsidR="00192975">
              <w:rPr>
                <w:rStyle w:val="Strong"/>
                <w:b w:val="0"/>
              </w:rPr>
              <w:t>I</w:t>
            </w:r>
            <w:r w:rsidR="00192975" w:rsidRPr="00192975">
              <w:rPr>
                <w:rStyle w:val="Strong"/>
                <w:b w:val="0"/>
              </w:rPr>
              <w:t xml:space="preserve"> want</w:t>
            </w:r>
            <w:r w:rsidR="00192975">
              <w:rPr>
                <w:rStyle w:val="Strong"/>
              </w:rPr>
              <w:t xml:space="preserve"> </w:t>
            </w:r>
            <w:r>
              <w:rPr>
                <w:rStyle w:val="Strong"/>
                <w:b w:val="0"/>
              </w:rPr>
              <w:t xml:space="preserve">to know’ column of their </w:t>
            </w:r>
            <w:hyperlink r:id="rId23" w:history="1">
              <w:r w:rsidRPr="00DE2EE8">
                <w:rPr>
                  <w:rStyle w:val="Hyperlink"/>
                </w:rPr>
                <w:t>KWL Chart</w:t>
              </w:r>
            </w:hyperlink>
            <w:r>
              <w:rPr>
                <w:rStyle w:val="Strong"/>
                <w:b w:val="0"/>
              </w:rPr>
              <w:t>.</w:t>
            </w:r>
          </w:p>
          <w:p w14:paraId="61DD09EB" w14:textId="77777777" w:rsidR="008018F5" w:rsidRPr="003F0CB7" w:rsidRDefault="008018F5" w:rsidP="008018F5">
            <w:pPr>
              <w:rPr>
                <w:rStyle w:val="Strong"/>
                <w:bCs w:val="0"/>
              </w:rPr>
            </w:pPr>
            <w:r w:rsidRPr="003F0CB7">
              <w:rPr>
                <w:rStyle w:val="Strong"/>
              </w:rPr>
              <w:t>Teacher</w:t>
            </w:r>
          </w:p>
          <w:p w14:paraId="77D254B5" w14:textId="77777777" w:rsidR="008018F5" w:rsidRDefault="008018F5" w:rsidP="008018F5">
            <w:pPr>
              <w:rPr>
                <w:rStyle w:val="Strong"/>
                <w:b w:val="0"/>
              </w:rPr>
            </w:pPr>
            <w:r>
              <w:rPr>
                <w:rStyle w:val="Strong"/>
                <w:b w:val="0"/>
              </w:rPr>
              <w:t xml:space="preserve">Break class into small groups and give each group a section of the code of practice. Explain to students they will be completing a </w:t>
            </w:r>
            <w:hyperlink r:id="rId24" w:history="1">
              <w:r w:rsidRPr="001E7BFE">
                <w:rPr>
                  <w:rStyle w:val="Hyperlink"/>
                </w:rPr>
                <w:t>jigsaw activity</w:t>
              </w:r>
            </w:hyperlink>
            <w:r>
              <w:rPr>
                <w:rStyle w:val="Strong"/>
                <w:b w:val="0"/>
              </w:rPr>
              <w:t xml:space="preserve"> by summarising their section of the policy and then presenting t</w:t>
            </w:r>
            <w:r w:rsidRPr="00304E62">
              <w:rPr>
                <w:rStyle w:val="Strong"/>
                <w:b w:val="0"/>
              </w:rPr>
              <w:t xml:space="preserve">his </w:t>
            </w:r>
            <w:r>
              <w:rPr>
                <w:rStyle w:val="Strong"/>
                <w:b w:val="0"/>
              </w:rPr>
              <w:t>back to the class.</w:t>
            </w:r>
          </w:p>
          <w:p w14:paraId="5B08A9E0" w14:textId="77777777" w:rsidR="008018F5" w:rsidRPr="003F0CB7" w:rsidRDefault="008018F5" w:rsidP="008018F5">
            <w:pPr>
              <w:rPr>
                <w:rStyle w:val="Strong"/>
                <w:bCs w:val="0"/>
              </w:rPr>
            </w:pPr>
            <w:r w:rsidRPr="003F0CB7">
              <w:rPr>
                <w:rStyle w:val="Strong"/>
              </w:rPr>
              <w:lastRenderedPageBreak/>
              <w:t>Student</w:t>
            </w:r>
          </w:p>
          <w:p w14:paraId="7669D59B" w14:textId="47D58C32" w:rsidR="008018F5" w:rsidRDefault="008018F5" w:rsidP="008018F5">
            <w:pPr>
              <w:rPr>
                <w:rStyle w:val="Strong"/>
                <w:b w:val="0"/>
              </w:rPr>
            </w:pPr>
            <w:r>
              <w:rPr>
                <w:rStyle w:val="Strong"/>
                <w:b w:val="0"/>
              </w:rPr>
              <w:t xml:space="preserve">Complete </w:t>
            </w:r>
            <w:hyperlink r:id="rId25" w:history="1">
              <w:r w:rsidRPr="001E7BFE">
                <w:rPr>
                  <w:rStyle w:val="Hyperlink"/>
                </w:rPr>
                <w:t>jigsaw activity</w:t>
              </w:r>
            </w:hyperlink>
            <w:r>
              <w:rPr>
                <w:rStyle w:val="Strong"/>
                <w:b w:val="0"/>
              </w:rPr>
              <w:t xml:space="preserve"> and present their summary of the code of practice back to the class.</w:t>
            </w:r>
          </w:p>
          <w:p w14:paraId="55349657" w14:textId="4D7C19E5" w:rsidR="008018F5" w:rsidRPr="003F0CB7" w:rsidRDefault="008018F5" w:rsidP="008018F5">
            <w:pPr>
              <w:rPr>
                <w:rStyle w:val="Strong"/>
              </w:rPr>
            </w:pPr>
            <w:r w:rsidRPr="003F0CB7">
              <w:rPr>
                <w:rStyle w:val="Strong"/>
              </w:rPr>
              <w:t>Teacher</w:t>
            </w:r>
          </w:p>
          <w:p w14:paraId="5D786B55" w14:textId="0D69E31F" w:rsidR="008018F5" w:rsidRPr="006D6BA9" w:rsidRDefault="008018F5" w:rsidP="008018F5">
            <w:pPr>
              <w:rPr>
                <w:rStyle w:val="Strong"/>
                <w:b w:val="0"/>
              </w:rPr>
            </w:pPr>
            <w:r>
              <w:rPr>
                <w:rStyle w:val="Strong"/>
                <w:b w:val="0"/>
              </w:rPr>
              <w:t>Explain to students that the code of practice can have an impact on the sectors of the horse industry and provide examples.</w:t>
            </w:r>
          </w:p>
          <w:p w14:paraId="6FBA9303" w14:textId="77777777" w:rsidR="008018F5" w:rsidRPr="003F0CB7" w:rsidRDefault="008018F5" w:rsidP="008018F5">
            <w:pPr>
              <w:rPr>
                <w:rStyle w:val="Strong"/>
              </w:rPr>
            </w:pPr>
            <w:r w:rsidRPr="003F0CB7">
              <w:rPr>
                <w:rStyle w:val="Strong"/>
              </w:rPr>
              <w:t>Student</w:t>
            </w:r>
          </w:p>
          <w:p w14:paraId="63A6D2F3" w14:textId="1934D089" w:rsidR="008018F5" w:rsidRDefault="008018F5" w:rsidP="008018F5">
            <w:pPr>
              <w:rPr>
                <w:rStyle w:val="Strong"/>
                <w:b w:val="0"/>
              </w:rPr>
            </w:pPr>
            <w:r>
              <w:rPr>
                <w:rStyle w:val="Strong"/>
                <w:b w:val="0"/>
              </w:rPr>
              <w:t>In small groups</w:t>
            </w:r>
            <w:r w:rsidR="00192975">
              <w:rPr>
                <w:rStyle w:val="Strong"/>
                <w:b w:val="0"/>
              </w:rPr>
              <w:t>,</w:t>
            </w:r>
            <w:r>
              <w:rPr>
                <w:rStyle w:val="Strong"/>
                <w:b w:val="0"/>
              </w:rPr>
              <w:t xml:space="preserve"> students research the economic impacts of th</w:t>
            </w:r>
            <w:r w:rsidRPr="000E157A">
              <w:rPr>
                <w:rStyle w:val="Strong"/>
                <w:b w:val="0"/>
              </w:rPr>
              <w:t>e equestrian</w:t>
            </w:r>
            <w:r>
              <w:rPr>
                <w:rStyle w:val="Strong"/>
                <w:b w:val="0"/>
              </w:rPr>
              <w:t xml:space="preserve"> industry in Australia. Students present their findings in their own chosen way.</w:t>
            </w:r>
          </w:p>
          <w:p w14:paraId="11F78DAC" w14:textId="77777777" w:rsidR="008018F5" w:rsidRPr="003F0CB7" w:rsidRDefault="008018F5" w:rsidP="008018F5">
            <w:pPr>
              <w:rPr>
                <w:rStyle w:val="Strong"/>
                <w:bCs w:val="0"/>
              </w:rPr>
            </w:pPr>
            <w:r w:rsidRPr="003F0CB7">
              <w:rPr>
                <w:rStyle w:val="Strong"/>
              </w:rPr>
              <w:t>Teacher</w:t>
            </w:r>
          </w:p>
          <w:p w14:paraId="6102A758" w14:textId="77777777" w:rsidR="008018F5" w:rsidRDefault="008018F5" w:rsidP="008018F5">
            <w:pPr>
              <w:rPr>
                <w:rStyle w:val="Strong"/>
                <w:b w:val="0"/>
              </w:rPr>
            </w:pPr>
            <w:r>
              <w:rPr>
                <w:rStyle w:val="Strong"/>
                <w:b w:val="0"/>
              </w:rPr>
              <w:t xml:space="preserve">Ask </w:t>
            </w:r>
            <w:r w:rsidRPr="0012310F">
              <w:rPr>
                <w:rStyle w:val="Strong"/>
                <w:b w:val="0"/>
              </w:rPr>
              <w:t>students to share any</w:t>
            </w:r>
            <w:r>
              <w:rPr>
                <w:rStyle w:val="Strong"/>
                <w:b w:val="0"/>
              </w:rPr>
              <w:t xml:space="preserve"> of their </w:t>
            </w:r>
            <w:r>
              <w:rPr>
                <w:rStyle w:val="Strong"/>
                <w:b w:val="0"/>
              </w:rPr>
              <w:lastRenderedPageBreak/>
              <w:t>questions from the W column t</w:t>
            </w:r>
            <w:r w:rsidRPr="00304E62">
              <w:rPr>
                <w:rStyle w:val="Strong"/>
                <w:b w:val="0"/>
              </w:rPr>
              <w:t>hat</w:t>
            </w:r>
            <w:r>
              <w:rPr>
                <w:rStyle w:val="Strong"/>
              </w:rPr>
              <w:t xml:space="preserve"> </w:t>
            </w:r>
            <w:r>
              <w:rPr>
                <w:rStyle w:val="Strong"/>
                <w:b w:val="0"/>
              </w:rPr>
              <w:t>were answered.</w:t>
            </w:r>
          </w:p>
          <w:p w14:paraId="3DDACD16" w14:textId="77777777" w:rsidR="008018F5" w:rsidRDefault="008018F5" w:rsidP="008018F5">
            <w:pPr>
              <w:rPr>
                <w:rStyle w:val="Strong"/>
                <w:b w:val="0"/>
              </w:rPr>
            </w:pPr>
            <w:r>
              <w:rPr>
                <w:rStyle w:val="Strong"/>
                <w:b w:val="0"/>
              </w:rPr>
              <w:t xml:space="preserve">Have students record a summary in the ‘What I learned’ column of their own </w:t>
            </w:r>
            <w:hyperlink r:id="rId26" w:history="1">
              <w:r w:rsidRPr="009A6A11">
                <w:rPr>
                  <w:rStyle w:val="Hyperlink"/>
                </w:rPr>
                <w:t>KWL Chart.</w:t>
              </w:r>
            </w:hyperlink>
          </w:p>
          <w:p w14:paraId="0DFA90F9" w14:textId="77777777" w:rsidR="008018F5" w:rsidRPr="003F0CB7" w:rsidRDefault="008018F5" w:rsidP="008018F5">
            <w:pPr>
              <w:rPr>
                <w:rStyle w:val="Strong"/>
              </w:rPr>
            </w:pPr>
            <w:r w:rsidRPr="003F0CB7">
              <w:rPr>
                <w:rStyle w:val="Strong"/>
              </w:rPr>
              <w:t>Student</w:t>
            </w:r>
          </w:p>
          <w:p w14:paraId="202910F4" w14:textId="5A7D03C0" w:rsidR="008018F5" w:rsidRDefault="008018F5" w:rsidP="008018F5">
            <w:r>
              <w:rPr>
                <w:rStyle w:val="Strong"/>
                <w:b w:val="0"/>
              </w:rPr>
              <w:t xml:space="preserve">Conduct research to complete </w:t>
            </w:r>
            <w:r w:rsidRPr="00304E62">
              <w:rPr>
                <w:rStyle w:val="Strong"/>
                <w:b w:val="0"/>
              </w:rPr>
              <w:t>KWL chart</w:t>
            </w:r>
            <w:r>
              <w:rPr>
                <w:rStyle w:val="Strong"/>
                <w:b w:val="0"/>
              </w:rPr>
              <w:t>.</w:t>
            </w:r>
          </w:p>
        </w:tc>
        <w:tc>
          <w:tcPr>
            <w:tcW w:w="1250" w:type="pct"/>
          </w:tcPr>
          <w:p w14:paraId="35E5902E" w14:textId="60F82D62" w:rsidR="008018F5" w:rsidRDefault="008018F5" w:rsidP="008018F5">
            <w:r>
              <w:lastRenderedPageBreak/>
              <w:t>Students complete their KWL chart with a correct summary of the horse industry organisation.</w:t>
            </w:r>
          </w:p>
          <w:p w14:paraId="56B8388D" w14:textId="583C104A" w:rsidR="008018F5" w:rsidRDefault="008018F5" w:rsidP="008018F5">
            <w:pPr>
              <w:rPr>
                <w:rStyle w:val="Strong"/>
                <w:bCs w:val="0"/>
              </w:rPr>
            </w:pPr>
            <w:r>
              <w:t xml:space="preserve">Students use their research skills and correctly present their findings in relation to </w:t>
            </w:r>
            <w:r w:rsidR="000E157A">
              <w:t xml:space="preserve">the </w:t>
            </w:r>
            <w:r>
              <w:t xml:space="preserve">economic impact of </w:t>
            </w:r>
            <w:r w:rsidR="000E157A">
              <w:t>the equestrian industry</w:t>
            </w:r>
            <w:r>
              <w:t xml:space="preserve"> in Australia.</w:t>
            </w:r>
          </w:p>
          <w:p w14:paraId="627C24D3" w14:textId="6578DFF7" w:rsidR="008018F5" w:rsidRDefault="008018F5" w:rsidP="008018F5">
            <w:r w:rsidRPr="00304E62">
              <w:rPr>
                <w:rStyle w:val="Strong"/>
                <w:b w:val="0"/>
              </w:rPr>
              <w:t>Students c</w:t>
            </w:r>
            <w:r>
              <w:rPr>
                <w:rStyle w:val="Strong"/>
                <w:b w:val="0"/>
              </w:rPr>
              <w:t xml:space="preserve">omplete the ‘What I learned’ column of their own </w:t>
            </w:r>
            <w:hyperlink r:id="rId27" w:history="1">
              <w:r w:rsidRPr="009A6A11">
                <w:rPr>
                  <w:rStyle w:val="Hyperlink"/>
                </w:rPr>
                <w:t>KWL Chart</w:t>
              </w:r>
            </w:hyperlink>
            <w:r w:rsidR="00A0229C" w:rsidRPr="00A0229C">
              <w:rPr>
                <w:rStyle w:val="Hyperlink"/>
                <w:u w:val="none"/>
              </w:rPr>
              <w:t>.</w:t>
            </w:r>
          </w:p>
        </w:tc>
        <w:tc>
          <w:tcPr>
            <w:tcW w:w="1250" w:type="pct"/>
          </w:tcPr>
          <w:p w14:paraId="4F9D97BB" w14:textId="5F7023DA" w:rsidR="008018F5" w:rsidRDefault="008018F5" w:rsidP="008018F5"/>
        </w:tc>
      </w:tr>
    </w:tbl>
    <w:p w14:paraId="3E79AD27" w14:textId="77777777" w:rsidR="00AD1582" w:rsidRPr="00AD1582" w:rsidRDefault="00AD1582" w:rsidP="00AD1582">
      <w:bookmarkStart w:id="13" w:name="_Additional_information"/>
      <w:bookmarkStart w:id="14" w:name="_Toc104382530"/>
      <w:bookmarkStart w:id="15" w:name="_Toc113619558"/>
      <w:bookmarkEnd w:id="13"/>
      <w:r w:rsidRPr="00AD1582">
        <w:lastRenderedPageBreak/>
        <w:br w:type="page"/>
      </w:r>
    </w:p>
    <w:p w14:paraId="6BE4C29B" w14:textId="2B60DFE2" w:rsidR="007A3A08" w:rsidRDefault="007A3A08" w:rsidP="0038203C">
      <w:pPr>
        <w:pStyle w:val="Heading1"/>
      </w:pPr>
      <w:bookmarkStart w:id="16" w:name="_Additional_information_1"/>
      <w:bookmarkStart w:id="17" w:name="_Toc152581511"/>
      <w:bookmarkEnd w:id="16"/>
      <w:r>
        <w:lastRenderedPageBreak/>
        <w:t>Additional information</w:t>
      </w:r>
      <w:bookmarkEnd w:id="17"/>
    </w:p>
    <w:p w14:paraId="0D7A96B2" w14:textId="77777777" w:rsidR="00E4595C" w:rsidRDefault="00E4595C" w:rsidP="00E4595C">
      <w:r>
        <w:t>This resource has been designed to support schools with successful implementation of new curriculum, specifically the NSW Department of Education approved elective course, Animal Studies</w:t>
      </w:r>
      <w:r w:rsidRPr="00144413">
        <w:t xml:space="preserve"> © </w:t>
      </w:r>
      <w:r>
        <w:t xml:space="preserve">NSW Department of Education for and on behalf of the Crown in right of the State of New South Wales, </w:t>
      </w:r>
      <w:r w:rsidRPr="00907801">
        <w:t>2021</w:t>
      </w:r>
      <w:r>
        <w:t>.</w:t>
      </w:r>
    </w:p>
    <w:p w14:paraId="5722124C" w14:textId="2AE345F3" w:rsidR="00A00049" w:rsidRDefault="00E4595C" w:rsidP="00A00049">
      <w:pPr>
        <w:rPr>
          <w:b/>
          <w:bCs/>
        </w:rPr>
      </w:pPr>
      <w:r>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11DEDD16" w14:textId="0DFB9B4B" w:rsidR="009C71CD" w:rsidRDefault="009C71CD" w:rsidP="00A00049">
      <w:r w:rsidRPr="708AD2A7">
        <w:rPr>
          <w:b/>
          <w:bCs/>
        </w:rPr>
        <w:t>Resource evaluation and support</w:t>
      </w:r>
      <w:r>
        <w:t xml:space="preserve">: </w:t>
      </w:r>
      <w:r w:rsidR="003229E3">
        <w:t xml:space="preserve">all </w:t>
      </w:r>
      <w:r w:rsidR="00627704">
        <w:t xml:space="preserve">curriculum resources are prepared through a rigorous process. Resources are periodically reviewed as part of our ongoing evaluation plan to ensure currency, relevance and effectiveness. For additional support or advice contact the Teaching and Learning Curriculum team by emailing </w:t>
      </w:r>
      <w:hyperlink r:id="rId28" w:history="1">
        <w:r w:rsidR="00627704" w:rsidRPr="000E35AF">
          <w:rPr>
            <w:rStyle w:val="Hyperlink"/>
          </w:rPr>
          <w:t>secondaryteachingandlearning@det.nsw.edu.au</w:t>
        </w:r>
      </w:hyperlink>
      <w:r w:rsidR="00627704">
        <w:t>.</w:t>
      </w:r>
    </w:p>
    <w:p w14:paraId="2DD44326" w14:textId="08813C47" w:rsidR="009C71CD" w:rsidRPr="00C82E19" w:rsidRDefault="009C71CD" w:rsidP="009C71CD">
      <w:pPr>
        <w:rPr>
          <w:rFonts w:eastAsia="Arial"/>
        </w:rPr>
      </w:pPr>
      <w:r w:rsidRPr="19B962B9">
        <w:rPr>
          <w:b/>
          <w:bCs/>
        </w:rPr>
        <w:t xml:space="preserve">Differentiation: </w:t>
      </w:r>
      <w:r w:rsidR="003229E3">
        <w:rPr>
          <w:rFonts w:eastAsia="Arial"/>
        </w:rPr>
        <w:t xml:space="preserve">further </w:t>
      </w:r>
      <w:r w:rsidRPr="19B962B9">
        <w:rPr>
          <w:rFonts w:eastAsia="Arial"/>
        </w:rPr>
        <w:t xml:space="preserve">advice to support Aboriginal and Torres Strait Islander students, EALD students, students with a disability and/or additional needs and High Potential and gifted students can be found on the </w:t>
      </w:r>
      <w:hyperlink r:id="rId29">
        <w:r w:rsidRPr="19B962B9">
          <w:rPr>
            <w:rStyle w:val="Hyperlink"/>
            <w:rFonts w:eastAsia="Arial"/>
          </w:rPr>
          <w:t>Planning programming and assessing 7</w:t>
        </w:r>
        <w:r w:rsidR="00B81F0A">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30" w:history="1">
        <w:r w:rsidRPr="00BD39B0">
          <w:rPr>
            <w:rStyle w:val="Hyperlink"/>
          </w:rPr>
          <w:t>Inclusion and differentiation 7</w:t>
        </w:r>
        <w:r w:rsidR="00B81F0A">
          <w:rPr>
            <w:rStyle w:val="Hyperlink"/>
          </w:rPr>
          <w:t>–</w:t>
        </w:r>
        <w:r w:rsidRPr="00BD39B0">
          <w:rPr>
            <w:rStyle w:val="Hyperlink"/>
          </w:rPr>
          <w:t>10 advice</w:t>
        </w:r>
      </w:hyperlink>
      <w:r>
        <w:t xml:space="preserve"> webpage.</w:t>
      </w:r>
    </w:p>
    <w:p w14:paraId="4320DE73" w14:textId="589D338C" w:rsidR="009C71CD" w:rsidRDefault="009C71CD" w:rsidP="009C71CD">
      <w:r w:rsidRPr="19B962B9">
        <w:rPr>
          <w:b/>
          <w:bCs/>
        </w:rPr>
        <w:t>Assessment</w:t>
      </w:r>
      <w:r>
        <w:t xml:space="preserve">: </w:t>
      </w:r>
      <w:r w:rsidRPr="19B962B9">
        <w:rPr>
          <w:rFonts w:eastAsia="Arial"/>
        </w:rPr>
        <w:t xml:space="preserve">further advice to support formative assessment is available on the </w:t>
      </w:r>
      <w:hyperlink r:id="rId31">
        <w:r w:rsidRPr="19B962B9">
          <w:rPr>
            <w:rStyle w:val="Hyperlink"/>
            <w:rFonts w:eastAsia="Arial"/>
          </w:rPr>
          <w:t>Planning programming and assessing 7</w:t>
        </w:r>
        <w:r w:rsidR="00B81F0A">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32" w:history="1">
        <w:r w:rsidRPr="00D15E22">
          <w:rPr>
            <w:rStyle w:val="Hyperlink"/>
          </w:rPr>
          <w:t>Classroom assessment advice 7</w:t>
        </w:r>
        <w:r w:rsidR="00B81F0A">
          <w:rPr>
            <w:rStyle w:val="Hyperlink"/>
          </w:rPr>
          <w:t>–</w:t>
        </w:r>
        <w:r w:rsidRPr="00D15E22">
          <w:rPr>
            <w:rStyle w:val="Hyperlink"/>
          </w:rPr>
          <w:t>10</w:t>
        </w:r>
      </w:hyperlink>
      <w:r>
        <w:t xml:space="preserve">. For summative assessment tasks, the </w:t>
      </w:r>
      <w:hyperlink r:id="rId33" w:history="1">
        <w:r w:rsidR="00B81F0A">
          <w:rPr>
            <w:rStyle w:val="Hyperlink"/>
          </w:rPr>
          <w:t>A</w:t>
        </w:r>
        <w:r w:rsidRPr="00E95D83">
          <w:rPr>
            <w:rStyle w:val="Hyperlink"/>
          </w:rPr>
          <w:t>ssessment task advice 7</w:t>
        </w:r>
        <w:r w:rsidR="00B81F0A">
          <w:rPr>
            <w:rStyle w:val="Hyperlink"/>
          </w:rPr>
          <w:t>–</w:t>
        </w:r>
        <w:r w:rsidRPr="00E95D83">
          <w:rPr>
            <w:rStyle w:val="Hyperlink"/>
          </w:rPr>
          <w:t>10</w:t>
        </w:r>
      </w:hyperlink>
      <w:r>
        <w:t xml:space="preserve"> webpage is available.</w:t>
      </w:r>
    </w:p>
    <w:p w14:paraId="28300578" w14:textId="63ACA571" w:rsidR="009C71CD" w:rsidRDefault="009C71CD" w:rsidP="009C71CD">
      <w:r w:rsidRPr="002E7C6F">
        <w:rPr>
          <w:b/>
          <w:bCs/>
        </w:rPr>
        <w:t>Consulted with</w:t>
      </w:r>
      <w:r>
        <w:t>: Curriculum and Reform, Inclusive Education, Multicultural Education, Aboriginal Outcomes and Partnerships</w:t>
      </w:r>
      <w:r w:rsidR="00E4595C">
        <w:t>, Animal Welfare Coordinator,</w:t>
      </w:r>
      <w:r>
        <w:t xml:space="preserve"> and subject matter experts.</w:t>
      </w:r>
    </w:p>
    <w:p w14:paraId="554E9DBD" w14:textId="77777777" w:rsidR="009C71CD" w:rsidRDefault="009C71CD" w:rsidP="009C71CD">
      <w:r w:rsidRPr="002E7C6F">
        <w:rPr>
          <w:b/>
          <w:bCs/>
        </w:rPr>
        <w:t>Alignment to system priorities and/or needs</w:t>
      </w:r>
      <w:r>
        <w:t xml:space="preserve">: </w:t>
      </w:r>
      <w:hyperlink r:id="rId34" w:history="1">
        <w:r w:rsidRPr="00D336ED">
          <w:rPr>
            <w:rStyle w:val="Hyperlink"/>
          </w:rPr>
          <w:t>School Excellence Policy</w:t>
        </w:r>
      </w:hyperlink>
      <w:r>
        <w:t xml:space="preserve">, </w:t>
      </w:r>
      <w:hyperlink r:id="rId35" w:history="1">
        <w:r w:rsidRPr="00D336ED">
          <w:rPr>
            <w:rStyle w:val="Hyperlink"/>
          </w:rPr>
          <w:t>School Success Model</w:t>
        </w:r>
      </w:hyperlink>
      <w:r>
        <w:t>.</w:t>
      </w:r>
    </w:p>
    <w:p w14:paraId="440650FF" w14:textId="60F233D4" w:rsidR="009C71CD" w:rsidRDefault="009C71CD" w:rsidP="009C71CD">
      <w:r w:rsidRPr="002E7C6F">
        <w:rPr>
          <w:b/>
          <w:bCs/>
        </w:rPr>
        <w:lastRenderedPageBreak/>
        <w:t>Alignment to the School Excellence Framework</w:t>
      </w:r>
      <w:r>
        <w:t xml:space="preserve">: </w:t>
      </w:r>
      <w:r w:rsidR="003229E3">
        <w:t xml:space="preserve">this </w:t>
      </w:r>
      <w:r>
        <w:t xml:space="preserve">resource supports the </w:t>
      </w:r>
      <w:hyperlink r:id="rId36" w:history="1">
        <w:r w:rsidRPr="00D336ED">
          <w:rPr>
            <w:rStyle w:val="Hyperlink"/>
          </w:rPr>
          <w:t>School Excellence Framework</w:t>
        </w:r>
      </w:hyperlink>
      <w:r>
        <w:t xml:space="preserve"> </w:t>
      </w:r>
      <w:r w:rsidR="00E4595C">
        <w:t>elements of curriculum (curriculum provision) and effective classroom practice (lesson planning, explicit teaching).</w:t>
      </w:r>
    </w:p>
    <w:p w14:paraId="415E31B6" w14:textId="46BB2328" w:rsidR="009C71CD" w:rsidRPr="00F31DD5" w:rsidRDefault="009C71CD" w:rsidP="009C71CD">
      <w:r w:rsidRPr="708AD2A7">
        <w:rPr>
          <w:b/>
          <w:bCs/>
        </w:rPr>
        <w:t>Alignment to Australian Professional Teaching Standards</w:t>
      </w:r>
      <w:r>
        <w:t xml:space="preserve">: </w:t>
      </w:r>
      <w:r w:rsidR="00634B29">
        <w:t xml:space="preserve">this </w:t>
      </w:r>
      <w:r>
        <w:t xml:space="preserve">resource supports teachers to address </w:t>
      </w:r>
      <w:hyperlink r:id="rId37">
        <w:r w:rsidRPr="708AD2A7">
          <w:rPr>
            <w:rStyle w:val="Hyperlink"/>
          </w:rPr>
          <w:t>Australian Professional Teaching Standards</w:t>
        </w:r>
      </w:hyperlink>
      <w:r>
        <w:t xml:space="preserve"> </w:t>
      </w:r>
      <w:r w:rsidR="00E4595C">
        <w:t>2.1.2, 2.3.2, 3.2.2, 7.2.2.</w:t>
      </w:r>
    </w:p>
    <w:p w14:paraId="65AA736E" w14:textId="77777777" w:rsidR="00A00049" w:rsidRDefault="00A00049" w:rsidP="00A00049">
      <w:r w:rsidRPr="00C2134A">
        <w:rPr>
          <w:b/>
          <w:bCs/>
        </w:rPr>
        <w:t>Creation date</w:t>
      </w:r>
      <w:r>
        <w:t>: 16 December 2022</w:t>
      </w:r>
    </w:p>
    <w:p w14:paraId="79CCC0F7" w14:textId="12965C5E" w:rsidR="00144413" w:rsidRDefault="00A00049" w:rsidP="00144413">
      <w:r w:rsidRPr="00C2134A">
        <w:rPr>
          <w:b/>
          <w:bCs/>
        </w:rPr>
        <w:t>Rights</w:t>
      </w:r>
      <w:r>
        <w:t>: © State of New South Wales, Department of Education</w:t>
      </w:r>
    </w:p>
    <w:p w14:paraId="2A2A349D" w14:textId="699ACDEE" w:rsidR="007A3A08" w:rsidRDefault="007A3A08" w:rsidP="007A3A08">
      <w:r w:rsidRPr="00C2134A">
        <w:rPr>
          <w:b/>
          <w:bCs/>
        </w:rPr>
        <w:t xml:space="preserve">Evidence </w:t>
      </w:r>
      <w:r w:rsidR="003229E3">
        <w:rPr>
          <w:b/>
          <w:bCs/>
        </w:rPr>
        <w:t>base</w:t>
      </w:r>
    </w:p>
    <w:p w14:paraId="303145C6" w14:textId="77777777" w:rsidR="007A3A08" w:rsidRDefault="007A3A08" w:rsidP="007A3A08">
      <w:r>
        <w:t xml:space="preserve">‘The long-term vision is for a curriculum that supports teachers to nurture wonder, ignite passion and provide every young person with knowledge, skills and attributes that will help prepare them for a lifetime of learning, meaningful adult employment and effective future citizenship’ (NESA </w:t>
      </w:r>
      <w:proofErr w:type="gramStart"/>
      <w:r>
        <w:t>2020:xi</w:t>
      </w:r>
      <w:proofErr w:type="gramEnd"/>
      <w:r>
        <w:t>).</w:t>
      </w:r>
    </w:p>
    <w:p w14:paraId="6D4E957E" w14:textId="77777777" w:rsidR="007A3A08" w:rsidRDefault="007A3A08" w:rsidP="007A3A08">
      <w:r>
        <w:t>The development of the course and the course document as part of department approved electives aims to respond to the goals articulated in NESA’s curriculum review. Consistent messages from the review include:</w:t>
      </w:r>
    </w:p>
    <w:p w14:paraId="7AC9F76F" w14:textId="77777777" w:rsidR="007A3A08" w:rsidRDefault="007A3A08" w:rsidP="00EE3F30">
      <w:pPr>
        <w:pStyle w:val="ListBullet"/>
        <w:numPr>
          <w:ilvl w:val="0"/>
          <w:numId w:val="1"/>
        </w:numPr>
      </w:pPr>
      <w:r>
        <w:t>‘flexibility’ was the word most used by teachers to describe the systemic change they want</w:t>
      </w:r>
    </w:p>
    <w:p w14:paraId="3126567C" w14:textId="77777777" w:rsidR="007A3A08" w:rsidRDefault="007A3A08" w:rsidP="00EE3F30">
      <w:pPr>
        <w:pStyle w:val="ListBullet"/>
        <w:numPr>
          <w:ilvl w:val="0"/>
          <w:numId w:val="1"/>
        </w:numPr>
      </w:pPr>
      <w:r>
        <w:t>teachers need more time to teach important knowledge and skills</w:t>
      </w:r>
    </w:p>
    <w:p w14:paraId="26D0A1F3" w14:textId="77777777" w:rsidR="007A3A08" w:rsidRDefault="007A3A08" w:rsidP="00EE3F30">
      <w:pPr>
        <w:pStyle w:val="ListBullet"/>
        <w:numPr>
          <w:ilvl w:val="0"/>
          <w:numId w:val="1"/>
        </w:numPr>
      </w:pPr>
      <w:r>
        <w:t>students want authentic learning with real-world application.</w:t>
      </w:r>
    </w:p>
    <w:p w14:paraId="2CE1A505" w14:textId="77777777" w:rsidR="007A3A08" w:rsidRDefault="007A3A08" w:rsidP="007A3A08">
      <w:r>
        <w:t>This teaching resource provides teachers with some examples of explicit and authentic learning experiences. The option to adjust these learning sequences leads to ‘increased local decision making in relation to the curriculum’ as this ‘is associated with higher levels of student performance’ (NESA 2020:52).</w:t>
      </w:r>
    </w:p>
    <w:p w14:paraId="67847E11" w14:textId="444444F7" w:rsidR="007A3A08" w:rsidRPr="004C731C" w:rsidRDefault="007A3A08" w:rsidP="007A3A08">
      <w:r>
        <w:lastRenderedPageBreak/>
        <w:t>The suggested strategies for teaching and learning align with the principles of explicit teaching. ‘The evidence shows that students who experience explicit teaching practices perform better than students who do not. Explicit teaching reduces the cognitive burden of learning new and complex concepts and skills, and helps students develop deep understanding’ (CESE 202</w:t>
      </w:r>
      <w:r w:rsidR="00653774">
        <w:t>0</w:t>
      </w:r>
      <w:r>
        <w:t>a:11).</w:t>
      </w:r>
      <w:r>
        <w:br w:type="page"/>
      </w:r>
    </w:p>
    <w:p w14:paraId="60E5366E" w14:textId="69B7CFCE" w:rsidR="007A3A08" w:rsidRDefault="007A3A08" w:rsidP="0038203C">
      <w:pPr>
        <w:pStyle w:val="Heading1"/>
      </w:pPr>
      <w:bookmarkStart w:id="18" w:name="_References_(ŠHeading_2)"/>
      <w:bookmarkStart w:id="19" w:name="_Toc152581512"/>
      <w:bookmarkEnd w:id="18"/>
      <w:r>
        <w:lastRenderedPageBreak/>
        <w:t>References</w:t>
      </w:r>
      <w:bookmarkEnd w:id="14"/>
      <w:bookmarkEnd w:id="15"/>
      <w:bookmarkEnd w:id="19"/>
    </w:p>
    <w:p w14:paraId="43F23DBC" w14:textId="0A0670C0" w:rsidR="008F3187" w:rsidRDefault="00000000" w:rsidP="008F3187">
      <w:hyperlink r:id="rId38" w:history="1">
        <w:r w:rsidR="008F3187" w:rsidRPr="00A418A6">
          <w:rPr>
            <w:rStyle w:val="Hyperlink"/>
          </w:rPr>
          <w:t>Animal studies course document</w:t>
        </w:r>
      </w:hyperlink>
      <w:r w:rsidR="008F3187" w:rsidRPr="00973AD0">
        <w:t xml:space="preserve"> </w:t>
      </w:r>
      <w:r w:rsidR="008F3187" w:rsidRPr="0080761C">
        <w:t>©</w:t>
      </w:r>
      <w:r w:rsidR="008F3187">
        <w:t xml:space="preserve"> </w:t>
      </w:r>
      <w:r w:rsidR="008F3187" w:rsidRPr="0080761C">
        <w:t>NSW Department of Education</w:t>
      </w:r>
      <w:r w:rsidR="008F3187">
        <w:t xml:space="preserve"> </w:t>
      </w:r>
      <w:r w:rsidR="008F3187" w:rsidRPr="0080761C">
        <w:t xml:space="preserve">for and on behalf of the </w:t>
      </w:r>
      <w:r w:rsidR="008F3187">
        <w:t>C</w:t>
      </w:r>
      <w:r w:rsidR="008F3187" w:rsidRPr="0080761C">
        <w:t>rown in the State of New South Wales</w:t>
      </w:r>
      <w:r w:rsidR="008F3187">
        <w:t xml:space="preserve">, </w:t>
      </w:r>
      <w:r w:rsidR="008F3187" w:rsidRPr="0080761C">
        <w:t>2021.</w:t>
      </w:r>
    </w:p>
    <w:p w14:paraId="1C16F8B5" w14:textId="47FC95A8" w:rsidR="007A3A08" w:rsidRDefault="007A3A08" w:rsidP="007A3A08">
      <w:r w:rsidRPr="006B34BA">
        <w:t>AITSL (Australian Institute for Teaching and School Leadership (2017) ‘</w:t>
      </w:r>
      <w:hyperlink r:id="rId39" w:anchor=":~:text=FEEDBACK-,Factsheet,-A%20quick%20guide" w:history="1">
        <w:r w:rsidRPr="00AD7703">
          <w:rPr>
            <w:rStyle w:val="Hyperlink"/>
          </w:rPr>
          <w:t>Feedback Factsheet</w:t>
        </w:r>
      </w:hyperlink>
      <w:r w:rsidRPr="006B34BA">
        <w:t xml:space="preserve">’, AITSL, accessed </w:t>
      </w:r>
      <w:r w:rsidR="00BC52BA">
        <w:t>16 December 2022</w:t>
      </w:r>
      <w:r w:rsidRPr="006B34BA">
        <w:t>.</w:t>
      </w:r>
    </w:p>
    <w:p w14:paraId="18ED4852" w14:textId="4D16CBF1" w:rsidR="00C53831" w:rsidRDefault="0073700E" w:rsidP="00D65808">
      <w:pPr>
        <w:rPr>
          <w:noProof/>
          <w:lang w:val="en-US"/>
        </w:rPr>
      </w:pPr>
      <w:r>
        <w:rPr>
          <w:noProof/>
          <w:lang w:val="en-US"/>
        </w:rPr>
        <w:t>AHIC (</w:t>
      </w:r>
      <w:r w:rsidR="00C53831" w:rsidRPr="32C947B2">
        <w:rPr>
          <w:noProof/>
          <w:lang w:val="en-US"/>
        </w:rPr>
        <w:t>Australian Horse Industry Council</w:t>
      </w:r>
      <w:r>
        <w:rPr>
          <w:noProof/>
          <w:lang w:val="en-US"/>
        </w:rPr>
        <w:t>)</w:t>
      </w:r>
      <w:r w:rsidR="00C53831" w:rsidRPr="32C947B2">
        <w:rPr>
          <w:noProof/>
          <w:lang w:val="en-US"/>
        </w:rPr>
        <w:t xml:space="preserve"> (</w:t>
      </w:r>
      <w:r w:rsidR="001F7EAA">
        <w:rPr>
          <w:noProof/>
          <w:lang w:val="en-US"/>
        </w:rPr>
        <w:t>2009</w:t>
      </w:r>
      <w:r w:rsidR="00C53831" w:rsidRPr="32C947B2">
        <w:rPr>
          <w:noProof/>
          <w:lang w:val="en-US"/>
        </w:rPr>
        <w:t xml:space="preserve">) </w:t>
      </w:r>
      <w:hyperlink r:id="rId40" w:history="1">
        <w:r w:rsidR="00C53831" w:rsidRPr="001F7EAA">
          <w:rPr>
            <w:rStyle w:val="Hyperlink"/>
            <w:i/>
            <w:iCs/>
            <w:noProof/>
            <w:lang w:val="en-US"/>
          </w:rPr>
          <w:t>Code of Practice for the Horse Industry</w:t>
        </w:r>
      </w:hyperlink>
      <w:r w:rsidR="0098138E" w:rsidRPr="32C947B2">
        <w:rPr>
          <w:noProof/>
          <w:lang w:val="en-US"/>
        </w:rPr>
        <w:t xml:space="preserve">, </w:t>
      </w:r>
      <w:r>
        <w:rPr>
          <w:noProof/>
          <w:lang w:val="en-US"/>
        </w:rPr>
        <w:t xml:space="preserve">AHIC, </w:t>
      </w:r>
      <w:r w:rsidR="0098138E" w:rsidRPr="32C947B2">
        <w:rPr>
          <w:noProof/>
          <w:lang w:val="en-US"/>
        </w:rPr>
        <w:t xml:space="preserve">accessed </w:t>
      </w:r>
      <w:r w:rsidR="2EC9B28F" w:rsidRPr="32C947B2">
        <w:rPr>
          <w:noProof/>
          <w:lang w:val="en-US"/>
        </w:rPr>
        <w:t>1 August</w:t>
      </w:r>
      <w:r w:rsidR="00E46C1E" w:rsidRPr="32C947B2">
        <w:rPr>
          <w:noProof/>
          <w:lang w:val="en-US"/>
        </w:rPr>
        <w:t xml:space="preserve"> 2023</w:t>
      </w:r>
      <w:r w:rsidR="00BF66BF">
        <w:rPr>
          <w:noProof/>
          <w:lang w:val="en-US"/>
        </w:rPr>
        <w:t>.</w:t>
      </w:r>
    </w:p>
    <w:p w14:paraId="61FC21E4" w14:textId="04792A4D" w:rsidR="00C53831" w:rsidRDefault="00C53831" w:rsidP="00D65808">
      <w:pPr>
        <w:rPr>
          <w:noProof/>
          <w:lang w:val="en-US"/>
        </w:rPr>
      </w:pPr>
      <w:r w:rsidRPr="32C947B2">
        <w:rPr>
          <w:noProof/>
          <w:lang w:val="en-US"/>
        </w:rPr>
        <w:t>Britannica (</w:t>
      </w:r>
      <w:r w:rsidR="00BF66BF">
        <w:rPr>
          <w:noProof/>
          <w:lang w:val="en-US"/>
        </w:rPr>
        <w:t>n.d.</w:t>
      </w:r>
      <w:r w:rsidRPr="32C947B2">
        <w:rPr>
          <w:noProof/>
          <w:lang w:val="en-US"/>
        </w:rPr>
        <w:t xml:space="preserve">) </w:t>
      </w:r>
      <w:hyperlink r:id="rId41" w:history="1">
        <w:r w:rsidRPr="32C947B2">
          <w:rPr>
            <w:rStyle w:val="Hyperlink"/>
            <w:i/>
            <w:iCs/>
            <w:noProof/>
            <w:lang w:val="en-US"/>
          </w:rPr>
          <w:t>Evolution of the horse</w:t>
        </w:r>
      </w:hyperlink>
      <w:r w:rsidR="00D7499C" w:rsidRPr="32C947B2">
        <w:rPr>
          <w:noProof/>
          <w:lang w:val="en-US"/>
        </w:rPr>
        <w:t xml:space="preserve">, </w:t>
      </w:r>
      <w:r w:rsidR="00BF66BF">
        <w:rPr>
          <w:noProof/>
          <w:lang w:val="en-US"/>
        </w:rPr>
        <w:t xml:space="preserve">Britannica website, </w:t>
      </w:r>
      <w:r w:rsidR="00D7499C" w:rsidRPr="32C947B2">
        <w:rPr>
          <w:noProof/>
          <w:lang w:val="en-US"/>
        </w:rPr>
        <w:t xml:space="preserve">accessed </w:t>
      </w:r>
      <w:r w:rsidR="18BEF519" w:rsidRPr="32C947B2">
        <w:rPr>
          <w:noProof/>
          <w:lang w:val="en-US"/>
        </w:rPr>
        <w:t>1 August</w:t>
      </w:r>
      <w:r w:rsidR="00D7499C" w:rsidRPr="32C947B2">
        <w:rPr>
          <w:noProof/>
          <w:lang w:val="en-US"/>
        </w:rPr>
        <w:t xml:space="preserve"> 2023</w:t>
      </w:r>
      <w:r w:rsidR="00BF66BF">
        <w:rPr>
          <w:noProof/>
          <w:lang w:val="en-US"/>
        </w:rPr>
        <w:t>.</w:t>
      </w:r>
    </w:p>
    <w:p w14:paraId="6891413B" w14:textId="77777777" w:rsidR="001317AB" w:rsidRDefault="001317AB" w:rsidP="001317AB">
      <w:r>
        <w:t xml:space="preserve">CESE (Centre for Education Statistics and Evaluation) (2020a) </w:t>
      </w:r>
      <w:hyperlink r:id="rId42" w:tgtFrame="_blank" w:tooltip="https://education.nsw.gov.au/about-us/educational-data/cese/publications/research-reports/what-works-best-2020-update" w:history="1">
        <w:r>
          <w:rPr>
            <w:rStyle w:val="Hyperlink"/>
            <w:i/>
            <w:iCs/>
          </w:rPr>
          <w:t>What works best: 2020 update</w:t>
        </w:r>
      </w:hyperlink>
      <w:r>
        <w:t xml:space="preserve">, NSW Department of Education, accessed </w:t>
      </w:r>
      <w:r w:rsidRPr="00B203AC">
        <w:t>1</w:t>
      </w:r>
      <w:r>
        <w:t>3</w:t>
      </w:r>
      <w:r w:rsidRPr="00B203AC">
        <w:t xml:space="preserve"> December 2022</w:t>
      </w:r>
      <w:r>
        <w:t>.</w:t>
      </w:r>
    </w:p>
    <w:p w14:paraId="27806A99" w14:textId="77777777" w:rsidR="001317AB" w:rsidRDefault="001317AB" w:rsidP="001317AB">
      <w:bookmarkStart w:id="20" w:name="_Hlk135313877"/>
      <w:r>
        <w:t xml:space="preserve">CESE (Centre for Education Statistics and Evaluation) (2020b) </w:t>
      </w:r>
      <w:hyperlink r:id="rId43" w:tgtFrame="_blank" w:tooltip="https://education.nsw.gov.au/about-us/educational-data/cese/publications/practical-guides-for-educators-/what-works-best-in-practice" w:history="1">
        <w:r w:rsidRPr="00DF402D">
          <w:rPr>
            <w:rStyle w:val="Hyperlink"/>
            <w:i/>
            <w:iCs/>
          </w:rPr>
          <w:t>What works best in practice</w:t>
        </w:r>
      </w:hyperlink>
      <w:r>
        <w:t xml:space="preserve">, NSW Department of Education, accessed </w:t>
      </w:r>
      <w:bookmarkEnd w:id="20"/>
      <w:r w:rsidRPr="00B203AC">
        <w:t>1</w:t>
      </w:r>
      <w:r>
        <w:t>3</w:t>
      </w:r>
      <w:r w:rsidRPr="00B203AC">
        <w:t xml:space="preserve"> December 2022</w:t>
      </w:r>
      <w:r>
        <w:t>.</w:t>
      </w:r>
    </w:p>
    <w:p w14:paraId="0ECD52B9" w14:textId="2512595F" w:rsidR="00BF66BF" w:rsidRDefault="00C53831" w:rsidP="007A3A08">
      <w:pPr>
        <w:rPr>
          <w:noProof/>
          <w:lang w:val="en-US"/>
        </w:rPr>
      </w:pPr>
      <w:r w:rsidRPr="32C947B2">
        <w:rPr>
          <w:noProof/>
          <w:lang w:val="en-US"/>
        </w:rPr>
        <w:t>Commonwealth of Australia (</w:t>
      </w:r>
      <w:r w:rsidR="00BF66BF">
        <w:rPr>
          <w:noProof/>
          <w:lang w:val="en-US"/>
        </w:rPr>
        <w:t>n.d.</w:t>
      </w:r>
      <w:r w:rsidRPr="32C947B2">
        <w:rPr>
          <w:noProof/>
          <w:lang w:val="en-US"/>
        </w:rPr>
        <w:t xml:space="preserve">) </w:t>
      </w:r>
      <w:hyperlink r:id="rId44" w:history="1">
        <w:r w:rsidRPr="32C947B2">
          <w:rPr>
            <w:rStyle w:val="Hyperlink"/>
            <w:i/>
            <w:iCs/>
            <w:noProof/>
            <w:lang w:val="en-US"/>
          </w:rPr>
          <w:t>What is the difference between Policy, act, and Legislation in Australia?</w:t>
        </w:r>
      </w:hyperlink>
      <w:r w:rsidR="00BF66BF" w:rsidRPr="00BF66BF">
        <w:rPr>
          <w:rStyle w:val="Emphasis"/>
        </w:rPr>
        <w:t>,</w:t>
      </w:r>
      <w:r w:rsidRPr="32C947B2">
        <w:rPr>
          <w:noProof/>
          <w:lang w:val="en-US"/>
        </w:rPr>
        <w:t xml:space="preserve"> Parlimentray Education Office</w:t>
      </w:r>
      <w:r w:rsidR="000F031E" w:rsidRPr="32C947B2">
        <w:rPr>
          <w:noProof/>
          <w:lang w:val="en-US"/>
        </w:rPr>
        <w:t xml:space="preserve">, accessed </w:t>
      </w:r>
      <w:r w:rsidR="23877927" w:rsidRPr="32C947B2">
        <w:rPr>
          <w:noProof/>
          <w:lang w:val="en-US"/>
        </w:rPr>
        <w:t>1</w:t>
      </w:r>
      <w:r w:rsidR="00FC2939">
        <w:rPr>
          <w:noProof/>
          <w:lang w:val="en-US"/>
        </w:rPr>
        <w:t> </w:t>
      </w:r>
      <w:r w:rsidR="23877927" w:rsidRPr="32C947B2">
        <w:rPr>
          <w:noProof/>
          <w:lang w:val="en-US"/>
        </w:rPr>
        <w:t>August</w:t>
      </w:r>
      <w:r w:rsidR="00741F92" w:rsidRPr="32C947B2">
        <w:rPr>
          <w:noProof/>
          <w:lang w:val="en-US"/>
        </w:rPr>
        <w:t xml:space="preserve"> 2023</w:t>
      </w:r>
      <w:r w:rsidR="00BF66BF">
        <w:rPr>
          <w:noProof/>
          <w:lang w:val="en-US"/>
        </w:rPr>
        <w:t>.</w:t>
      </w:r>
    </w:p>
    <w:p w14:paraId="1C10B3CC" w14:textId="6CDD49FA" w:rsidR="002634DD" w:rsidRDefault="002634DD" w:rsidP="002634DD">
      <w:bookmarkStart w:id="21" w:name="_Hlk152842228"/>
      <w:r w:rsidRPr="001836AB">
        <w:t xml:space="preserve">NESA (NSW Education Standards Authority) (2020) </w:t>
      </w:r>
      <w:hyperlink r:id="rId45" w:history="1">
        <w:r w:rsidRPr="001836AB">
          <w:rPr>
            <w:rStyle w:val="Hyperlink"/>
            <w:i/>
            <w:iCs/>
          </w:rPr>
          <w:t>Nurturing Wonder and Igniting Passion, designs for a new school curriculum: NSW Curriculum Review</w:t>
        </w:r>
        <w:r w:rsidRPr="001836AB">
          <w:rPr>
            <w:rStyle w:val="Hyperlink"/>
          </w:rPr>
          <w:t xml:space="preserve"> [PDF 1.12MB]</w:t>
        </w:r>
      </w:hyperlink>
      <w:r w:rsidRPr="001836AB">
        <w:t>, NESA, accessed 13 December 2022.</w:t>
      </w:r>
    </w:p>
    <w:bookmarkEnd w:id="21"/>
    <w:p w14:paraId="5EFF8442" w14:textId="60FB6D97" w:rsidR="007366AD" w:rsidRDefault="007366AD" w:rsidP="00D65808">
      <w:pPr>
        <w:rPr>
          <w:noProof/>
          <w:lang w:val="en-US"/>
        </w:rPr>
      </w:pPr>
      <w:r w:rsidRPr="32C947B2">
        <w:rPr>
          <w:noProof/>
          <w:lang w:val="en-US"/>
        </w:rPr>
        <w:t>Oklahoma State University (</w:t>
      </w:r>
      <w:r w:rsidR="005A10F6">
        <w:rPr>
          <w:noProof/>
          <w:lang w:val="en-US"/>
        </w:rPr>
        <w:t>n.d.</w:t>
      </w:r>
      <w:r w:rsidRPr="32C947B2">
        <w:rPr>
          <w:noProof/>
          <w:lang w:val="en-US"/>
        </w:rPr>
        <w:t xml:space="preserve">) </w:t>
      </w:r>
      <w:hyperlink r:id="rId46" w:history="1">
        <w:r w:rsidRPr="32C947B2">
          <w:rPr>
            <w:rStyle w:val="Hyperlink"/>
            <w:i/>
            <w:iCs/>
            <w:noProof/>
            <w:lang w:val="en-US"/>
          </w:rPr>
          <w:t>Breeds of Horses</w:t>
        </w:r>
      </w:hyperlink>
      <w:r w:rsidR="005A10F6" w:rsidRPr="005A10F6">
        <w:t>,</w:t>
      </w:r>
      <w:r w:rsidRPr="32C947B2">
        <w:rPr>
          <w:noProof/>
          <w:lang w:val="en-US"/>
        </w:rPr>
        <w:t xml:space="preserve"> Breeds of Livestock</w:t>
      </w:r>
      <w:r w:rsidR="0053772C" w:rsidRPr="32C947B2">
        <w:rPr>
          <w:noProof/>
          <w:lang w:val="en-US"/>
        </w:rPr>
        <w:t xml:space="preserve">, accessed </w:t>
      </w:r>
      <w:r w:rsidR="6B9A9F50" w:rsidRPr="32C947B2">
        <w:rPr>
          <w:noProof/>
          <w:lang w:val="en-US"/>
        </w:rPr>
        <w:t>1 August</w:t>
      </w:r>
      <w:r w:rsidR="0053772C" w:rsidRPr="32C947B2">
        <w:rPr>
          <w:noProof/>
          <w:lang w:val="en-US"/>
        </w:rPr>
        <w:t xml:space="preserve"> 2023.</w:t>
      </w:r>
    </w:p>
    <w:p w14:paraId="4BE8F2D3" w14:textId="09BBDD57" w:rsidR="007366AD" w:rsidRDefault="007366AD" w:rsidP="007366AD">
      <w:pPr>
        <w:rPr>
          <w:noProof/>
          <w:lang w:val="en-US"/>
        </w:rPr>
      </w:pPr>
      <w:r w:rsidRPr="32C947B2">
        <w:rPr>
          <w:noProof/>
          <w:lang w:val="en-US"/>
        </w:rPr>
        <w:t>RDA Australia</w:t>
      </w:r>
      <w:r w:rsidR="005A10F6">
        <w:rPr>
          <w:noProof/>
          <w:lang w:val="en-US"/>
        </w:rPr>
        <w:t xml:space="preserve"> (Riding for the Disable</w:t>
      </w:r>
      <w:r w:rsidR="007B0B9D">
        <w:rPr>
          <w:noProof/>
          <w:lang w:val="en-US"/>
        </w:rPr>
        <w:t>d</w:t>
      </w:r>
      <w:r w:rsidR="005A10F6">
        <w:rPr>
          <w:noProof/>
          <w:lang w:val="en-US"/>
        </w:rPr>
        <w:t xml:space="preserve"> Association Australia)</w:t>
      </w:r>
      <w:r w:rsidRPr="32C947B2">
        <w:rPr>
          <w:noProof/>
          <w:lang w:val="en-US"/>
        </w:rPr>
        <w:t xml:space="preserve"> (2023) </w:t>
      </w:r>
      <w:hyperlink r:id="rId47" w:history="1">
        <w:r w:rsidRPr="007B0B9D">
          <w:rPr>
            <w:rStyle w:val="Hyperlink"/>
            <w:i/>
            <w:iCs/>
            <w:noProof/>
            <w:lang w:val="en-US"/>
          </w:rPr>
          <w:t>Riding for the Disabled Australia</w:t>
        </w:r>
      </w:hyperlink>
      <w:r w:rsidR="0053772C" w:rsidRPr="32C947B2">
        <w:rPr>
          <w:noProof/>
          <w:lang w:val="en-US"/>
        </w:rPr>
        <w:t xml:space="preserve"> </w:t>
      </w:r>
      <w:r w:rsidR="007B0B9D">
        <w:rPr>
          <w:noProof/>
          <w:lang w:val="en-US"/>
        </w:rPr>
        <w:t xml:space="preserve">[website], </w:t>
      </w:r>
      <w:r w:rsidR="0053772C" w:rsidRPr="32C947B2">
        <w:rPr>
          <w:noProof/>
          <w:lang w:val="en-US"/>
        </w:rPr>
        <w:t xml:space="preserve">accessed </w:t>
      </w:r>
      <w:r w:rsidR="11F95B8A" w:rsidRPr="32C947B2">
        <w:rPr>
          <w:noProof/>
          <w:lang w:val="en-US"/>
        </w:rPr>
        <w:t>1 August</w:t>
      </w:r>
      <w:r w:rsidR="0053772C" w:rsidRPr="32C947B2">
        <w:rPr>
          <w:noProof/>
          <w:lang w:val="en-US"/>
        </w:rPr>
        <w:t xml:space="preserve"> 2023</w:t>
      </w:r>
      <w:r w:rsidR="007B0B9D">
        <w:rPr>
          <w:noProof/>
          <w:lang w:val="en-US"/>
        </w:rPr>
        <w:t>.</w:t>
      </w:r>
    </w:p>
    <w:p w14:paraId="324D4542" w14:textId="33CC2A7F" w:rsidR="002F7E9E" w:rsidRDefault="002F7E9E" w:rsidP="002F7E9E">
      <w:pPr>
        <w:rPr>
          <w:noProof/>
          <w:lang w:val="en-US"/>
        </w:rPr>
      </w:pPr>
      <w:r>
        <w:lastRenderedPageBreak/>
        <w:t xml:space="preserve">State of New South Wales (Department of Education) </w:t>
      </w:r>
      <w:r w:rsidRPr="32C947B2">
        <w:rPr>
          <w:noProof/>
          <w:lang w:val="en-US"/>
        </w:rPr>
        <w:t xml:space="preserve">(2023) </w:t>
      </w:r>
      <w:r w:rsidR="006C01FA">
        <w:rPr>
          <w:noProof/>
          <w:lang w:val="en-US"/>
        </w:rPr>
        <w:t>‘</w:t>
      </w:r>
      <w:hyperlink r:id="rId48" w:history="1">
        <w:r w:rsidRPr="006C01FA">
          <w:rPr>
            <w:rStyle w:val="Hyperlink"/>
            <w:noProof/>
            <w:lang w:val="en-US"/>
          </w:rPr>
          <w:t>Activating prior knowledge (Previously KWLH)</w:t>
        </w:r>
      </w:hyperlink>
      <w:r w:rsidR="006C01FA" w:rsidRPr="006C01FA">
        <w:t>’</w:t>
      </w:r>
      <w:r w:rsidR="007B0B9D" w:rsidRPr="007B0B9D">
        <w:t>,</w:t>
      </w:r>
      <w:r w:rsidRPr="32C947B2">
        <w:rPr>
          <w:noProof/>
          <w:lang w:val="en-US"/>
        </w:rPr>
        <w:t xml:space="preserve"> </w:t>
      </w:r>
      <w:r w:rsidR="001317AB" w:rsidRPr="001317AB">
        <w:rPr>
          <w:i/>
          <w:iCs/>
          <w:noProof/>
          <w:lang w:val="en-US"/>
        </w:rPr>
        <w:t>Digital Learning Selector:</w:t>
      </w:r>
      <w:r w:rsidR="001317AB">
        <w:rPr>
          <w:noProof/>
          <w:lang w:val="en-US"/>
        </w:rPr>
        <w:t xml:space="preserve"> </w:t>
      </w:r>
      <w:r w:rsidR="006C01FA">
        <w:rPr>
          <w:i/>
          <w:iCs/>
          <w:noProof/>
          <w:lang w:val="en-US"/>
        </w:rPr>
        <w:t>Learning activities</w:t>
      </w:r>
      <w:r w:rsidRPr="32C947B2">
        <w:rPr>
          <w:noProof/>
          <w:lang w:val="en-US"/>
        </w:rPr>
        <w:t xml:space="preserve">, </w:t>
      </w:r>
      <w:r w:rsidR="006C01FA">
        <w:rPr>
          <w:noProof/>
          <w:lang w:val="en-US"/>
        </w:rPr>
        <w:t xml:space="preserve">NSW Department of Education website, </w:t>
      </w:r>
      <w:r w:rsidRPr="32C947B2">
        <w:rPr>
          <w:noProof/>
          <w:lang w:val="en-US"/>
        </w:rPr>
        <w:t>accessed</w:t>
      </w:r>
      <w:r w:rsidR="35AEEA73" w:rsidRPr="32C947B2">
        <w:rPr>
          <w:noProof/>
          <w:lang w:val="en-US"/>
        </w:rPr>
        <w:t xml:space="preserve"> 1 August</w:t>
      </w:r>
      <w:r w:rsidRPr="32C947B2">
        <w:rPr>
          <w:noProof/>
          <w:lang w:val="en-US"/>
        </w:rPr>
        <w:t xml:space="preserve"> 2023</w:t>
      </w:r>
      <w:r w:rsidR="006C01FA">
        <w:rPr>
          <w:noProof/>
          <w:lang w:val="en-US"/>
        </w:rPr>
        <w:t>.</w:t>
      </w:r>
    </w:p>
    <w:p w14:paraId="5966B198" w14:textId="5D21CDEB" w:rsidR="002F7E9E" w:rsidRDefault="002F7E9E" w:rsidP="002F7E9E">
      <w:pPr>
        <w:rPr>
          <w:noProof/>
          <w:lang w:val="en-US"/>
        </w:rPr>
      </w:pPr>
      <w:r>
        <w:t xml:space="preserve">State of New South Wales (Department of Education) </w:t>
      </w:r>
      <w:r w:rsidRPr="32C947B2">
        <w:rPr>
          <w:noProof/>
          <w:lang w:val="en-US"/>
        </w:rPr>
        <w:t xml:space="preserve">(2023) </w:t>
      </w:r>
      <w:r w:rsidR="006C01FA">
        <w:rPr>
          <w:noProof/>
          <w:lang w:val="en-US"/>
        </w:rPr>
        <w:t>‘</w:t>
      </w:r>
      <w:hyperlink r:id="rId49" w:anchor=".Y6EsPLkv3yE.link" w:history="1">
        <w:r w:rsidRPr="006C01FA">
          <w:rPr>
            <w:rStyle w:val="Hyperlink"/>
            <w:noProof/>
            <w:lang w:val="en-US"/>
          </w:rPr>
          <w:t>Brainstorm</w:t>
        </w:r>
      </w:hyperlink>
      <w:r w:rsidR="006C01FA" w:rsidRPr="006C01FA">
        <w:t>’</w:t>
      </w:r>
      <w:r w:rsidR="006C01FA">
        <w:t>,</w:t>
      </w:r>
      <w:r w:rsidRPr="32C947B2">
        <w:rPr>
          <w:noProof/>
          <w:lang w:val="en-US"/>
        </w:rPr>
        <w:t xml:space="preserve"> </w:t>
      </w:r>
      <w:r w:rsidR="001317AB" w:rsidRPr="001317AB">
        <w:rPr>
          <w:i/>
          <w:iCs/>
          <w:noProof/>
          <w:lang w:val="en-US"/>
        </w:rPr>
        <w:t>Digital Learning Selector:</w:t>
      </w:r>
      <w:r w:rsidR="001317AB">
        <w:rPr>
          <w:noProof/>
          <w:lang w:val="en-US"/>
        </w:rPr>
        <w:t xml:space="preserve"> </w:t>
      </w:r>
      <w:r w:rsidR="006C01FA">
        <w:rPr>
          <w:i/>
          <w:iCs/>
          <w:noProof/>
          <w:lang w:val="en-US"/>
        </w:rPr>
        <w:t>Learning activities</w:t>
      </w:r>
      <w:r w:rsidRPr="32C947B2">
        <w:rPr>
          <w:noProof/>
          <w:lang w:val="en-US"/>
        </w:rPr>
        <w:t xml:space="preserve">, </w:t>
      </w:r>
      <w:r w:rsidR="006C01FA">
        <w:rPr>
          <w:noProof/>
          <w:lang w:val="en-US"/>
        </w:rPr>
        <w:t xml:space="preserve">NSW Department of Education website, </w:t>
      </w:r>
      <w:r w:rsidRPr="32C947B2">
        <w:rPr>
          <w:noProof/>
          <w:lang w:val="en-US"/>
        </w:rPr>
        <w:t xml:space="preserve">accessed </w:t>
      </w:r>
      <w:r w:rsidR="68C0D38D" w:rsidRPr="32C947B2">
        <w:rPr>
          <w:noProof/>
          <w:lang w:val="en-US"/>
        </w:rPr>
        <w:t>1</w:t>
      </w:r>
      <w:r w:rsidR="006C01FA">
        <w:rPr>
          <w:noProof/>
          <w:lang w:val="en-US"/>
        </w:rPr>
        <w:t> </w:t>
      </w:r>
      <w:r w:rsidR="68C0D38D" w:rsidRPr="32C947B2">
        <w:rPr>
          <w:noProof/>
          <w:lang w:val="en-US"/>
        </w:rPr>
        <w:t>August</w:t>
      </w:r>
      <w:r w:rsidRPr="32C947B2">
        <w:rPr>
          <w:noProof/>
          <w:lang w:val="en-US"/>
        </w:rPr>
        <w:t xml:space="preserve"> 2023.</w:t>
      </w:r>
    </w:p>
    <w:p w14:paraId="53B7EC09" w14:textId="27F2D6F3" w:rsidR="002F7E9E" w:rsidRDefault="002F7E9E" w:rsidP="002F7E9E">
      <w:pPr>
        <w:rPr>
          <w:noProof/>
          <w:lang w:val="en-US"/>
        </w:rPr>
      </w:pPr>
      <w:r>
        <w:t xml:space="preserve">State of New South Wales (Department of Education) </w:t>
      </w:r>
      <w:r w:rsidRPr="32C947B2">
        <w:rPr>
          <w:noProof/>
          <w:lang w:val="en-US"/>
        </w:rPr>
        <w:t xml:space="preserve">(2023) </w:t>
      </w:r>
      <w:r w:rsidR="006C01FA">
        <w:rPr>
          <w:noProof/>
          <w:lang w:val="en-US"/>
        </w:rPr>
        <w:t>‘</w:t>
      </w:r>
      <w:hyperlink r:id="rId50" w:history="1">
        <w:r w:rsidRPr="00ED4E9E">
          <w:rPr>
            <w:rStyle w:val="Hyperlink"/>
            <w:noProof/>
            <w:lang w:val="en-US"/>
          </w:rPr>
          <w:t>Graphic Organisers</w:t>
        </w:r>
      </w:hyperlink>
      <w:r w:rsidR="006C01FA" w:rsidRPr="00ED4E9E">
        <w:t>’</w:t>
      </w:r>
      <w:r w:rsidR="006C01FA">
        <w:t xml:space="preserve">, </w:t>
      </w:r>
      <w:r w:rsidR="001317AB" w:rsidRPr="001317AB">
        <w:rPr>
          <w:i/>
          <w:iCs/>
        </w:rPr>
        <w:t>Digital Learning Selector:</w:t>
      </w:r>
      <w:r w:rsidR="001317AB">
        <w:t xml:space="preserve"> </w:t>
      </w:r>
      <w:r w:rsidR="006C01FA">
        <w:rPr>
          <w:i/>
          <w:iCs/>
        </w:rPr>
        <w:t>Learning activities</w:t>
      </w:r>
      <w:r w:rsidR="006C01FA">
        <w:t xml:space="preserve">, </w:t>
      </w:r>
      <w:r w:rsidR="006C01FA">
        <w:rPr>
          <w:noProof/>
          <w:lang w:val="en-US"/>
        </w:rPr>
        <w:t>NSW Department of Education webiste</w:t>
      </w:r>
      <w:r w:rsidRPr="32C947B2">
        <w:rPr>
          <w:noProof/>
          <w:lang w:val="en-US"/>
        </w:rPr>
        <w:t xml:space="preserve">, accessed </w:t>
      </w:r>
      <w:r w:rsidR="553B9104" w:rsidRPr="32C947B2">
        <w:rPr>
          <w:noProof/>
          <w:lang w:val="en-US"/>
        </w:rPr>
        <w:t>1 August</w:t>
      </w:r>
      <w:r w:rsidRPr="32C947B2">
        <w:rPr>
          <w:noProof/>
          <w:lang w:val="en-US"/>
        </w:rPr>
        <w:t xml:space="preserve"> 2023.</w:t>
      </w:r>
    </w:p>
    <w:p w14:paraId="11EA5D3C" w14:textId="7C39FF1A" w:rsidR="002F7E9E" w:rsidRDefault="002F7E9E" w:rsidP="007366AD">
      <w:pPr>
        <w:rPr>
          <w:noProof/>
          <w:lang w:val="en-US"/>
        </w:rPr>
      </w:pPr>
      <w:r>
        <w:t xml:space="preserve">State of New South Wales (Department of Education) </w:t>
      </w:r>
      <w:r w:rsidRPr="32C947B2">
        <w:rPr>
          <w:noProof/>
          <w:lang w:val="en-US"/>
        </w:rPr>
        <w:t xml:space="preserve">(2023) </w:t>
      </w:r>
      <w:r w:rsidR="006C01FA">
        <w:rPr>
          <w:noProof/>
          <w:lang w:val="en-US"/>
        </w:rPr>
        <w:t>‘</w:t>
      </w:r>
      <w:hyperlink r:id="rId51" w:history="1">
        <w:r w:rsidRPr="006C01FA">
          <w:rPr>
            <w:rStyle w:val="Hyperlink"/>
            <w:noProof/>
            <w:lang w:val="en-US"/>
          </w:rPr>
          <w:t>Jigsaw</w:t>
        </w:r>
      </w:hyperlink>
      <w:r w:rsidR="006C01FA" w:rsidRPr="006C01FA">
        <w:t>’</w:t>
      </w:r>
      <w:r w:rsidR="006C01FA">
        <w:t xml:space="preserve">, </w:t>
      </w:r>
      <w:r w:rsidR="001317AB" w:rsidRPr="001317AB">
        <w:rPr>
          <w:i/>
          <w:iCs/>
        </w:rPr>
        <w:t>Digital Learning Selector:</w:t>
      </w:r>
      <w:r w:rsidR="001317AB">
        <w:t xml:space="preserve"> </w:t>
      </w:r>
      <w:r w:rsidR="006C01FA" w:rsidRPr="006C01FA">
        <w:rPr>
          <w:i/>
          <w:iCs/>
        </w:rPr>
        <w:t>Learning activities</w:t>
      </w:r>
      <w:r w:rsidR="006C01FA">
        <w:t>,</w:t>
      </w:r>
      <w:r w:rsidRPr="32C947B2">
        <w:rPr>
          <w:noProof/>
          <w:lang w:val="en-US"/>
        </w:rPr>
        <w:t xml:space="preserve"> </w:t>
      </w:r>
      <w:r w:rsidR="006C01FA">
        <w:rPr>
          <w:noProof/>
          <w:lang w:val="en-US"/>
        </w:rPr>
        <w:t>NSW Department of Education website</w:t>
      </w:r>
      <w:r w:rsidRPr="32C947B2">
        <w:rPr>
          <w:noProof/>
          <w:lang w:val="en-US"/>
        </w:rPr>
        <w:t xml:space="preserve">, accessed </w:t>
      </w:r>
      <w:r w:rsidR="4F2FA63F" w:rsidRPr="32C947B2">
        <w:rPr>
          <w:noProof/>
          <w:lang w:val="en-US"/>
        </w:rPr>
        <w:t>1</w:t>
      </w:r>
      <w:r w:rsidR="006C01FA">
        <w:rPr>
          <w:noProof/>
          <w:lang w:val="en-US"/>
        </w:rPr>
        <w:t> </w:t>
      </w:r>
      <w:r w:rsidR="4F2FA63F" w:rsidRPr="32C947B2">
        <w:rPr>
          <w:noProof/>
          <w:lang w:val="en-US"/>
        </w:rPr>
        <w:t>August</w:t>
      </w:r>
      <w:r w:rsidR="006C01FA">
        <w:rPr>
          <w:noProof/>
          <w:lang w:val="en-US"/>
        </w:rPr>
        <w:t> </w:t>
      </w:r>
      <w:r w:rsidRPr="32C947B2">
        <w:rPr>
          <w:noProof/>
          <w:lang w:val="en-US"/>
        </w:rPr>
        <w:t>2023.</w:t>
      </w:r>
    </w:p>
    <w:p w14:paraId="4FBB07C0" w14:textId="1F9B76EC" w:rsidR="000D62BC" w:rsidRPr="000D62BC" w:rsidRDefault="000D62BC" w:rsidP="007366AD">
      <w:r>
        <w:t xml:space="preserve">State of New South Wales (Department of Education) (2023) </w:t>
      </w:r>
      <w:hyperlink r:id="rId52" w:history="1">
        <w:r w:rsidRPr="32C947B2">
          <w:rPr>
            <w:rStyle w:val="Hyperlink"/>
          </w:rPr>
          <w:t>'Horses – introduction'</w:t>
        </w:r>
      </w:hyperlink>
      <w:r>
        <w:t xml:space="preserve">, </w:t>
      </w:r>
      <w:r w:rsidRPr="32C947B2">
        <w:rPr>
          <w:i/>
          <w:iCs/>
        </w:rPr>
        <w:t>Animals in schools</w:t>
      </w:r>
      <w:r>
        <w:t xml:space="preserve">, NSW Department of Education website, accessed </w:t>
      </w:r>
      <w:r w:rsidR="53623779">
        <w:t>1 August</w:t>
      </w:r>
      <w:r>
        <w:t xml:space="preserve"> 2023.</w:t>
      </w:r>
    </w:p>
    <w:p w14:paraId="76F3224D" w14:textId="77777777" w:rsidR="00AB66F1" w:rsidRDefault="00AB66F1" w:rsidP="007A3A08"/>
    <w:p w14:paraId="3ED950CF" w14:textId="3F2741F3" w:rsidR="00D45B16" w:rsidRDefault="00D45B16" w:rsidP="007A3A08">
      <w:pPr>
        <w:sectPr w:rsidR="00D45B16" w:rsidSect="00D45B16">
          <w:headerReference w:type="default" r:id="rId53"/>
          <w:footerReference w:type="even" r:id="rId54"/>
          <w:footerReference w:type="default" r:id="rId55"/>
          <w:headerReference w:type="first" r:id="rId56"/>
          <w:footerReference w:type="first" r:id="rId57"/>
          <w:pgSz w:w="16838" w:h="11906" w:orient="landscape"/>
          <w:pgMar w:top="1134" w:right="1134" w:bottom="1134" w:left="1134" w:header="709" w:footer="709" w:gutter="0"/>
          <w:pgNumType w:start="0"/>
          <w:cols w:space="708"/>
          <w:titlePg/>
          <w:docGrid w:linePitch="360"/>
        </w:sectPr>
      </w:pPr>
    </w:p>
    <w:p w14:paraId="4114B1D2" w14:textId="77777777" w:rsidR="0073294B" w:rsidRPr="00E80FFD" w:rsidRDefault="0073294B" w:rsidP="0073294B">
      <w:pPr>
        <w:spacing w:before="0" w:after="0"/>
        <w:rPr>
          <w:rStyle w:val="Strong"/>
          <w:szCs w:val="22"/>
        </w:rPr>
      </w:pPr>
      <w:r w:rsidRPr="00E80FFD">
        <w:rPr>
          <w:rStyle w:val="Strong"/>
          <w:szCs w:val="22"/>
        </w:rPr>
        <w:lastRenderedPageBreak/>
        <w:t>© State of New South Wales (Department of Education), 2023</w:t>
      </w:r>
    </w:p>
    <w:p w14:paraId="51F699CF" w14:textId="77777777" w:rsidR="0073294B" w:rsidRPr="00E80FFD" w:rsidRDefault="0073294B" w:rsidP="0073294B">
      <w:r>
        <w:t xml:space="preserve">The copyright material </w:t>
      </w:r>
      <w:r w:rsidRPr="00E80FFD">
        <w:t>published</w:t>
      </w:r>
      <w:r>
        <w:t xml:space="preserve"> in this resource is subject to the </w:t>
      </w:r>
      <w:r w:rsidRPr="003B3E41">
        <w:rPr>
          <w:i/>
          <w:iC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7C776FD7" w14:textId="77777777" w:rsidR="0073294B" w:rsidRDefault="0073294B" w:rsidP="0073294B">
      <w:r w:rsidRPr="00E80FFD">
        <w:t>Copyright material available in this resource</w:t>
      </w:r>
      <w:r>
        <w:t xml:space="preserve"> and owned by the NSW Department of Education is licensed under a </w:t>
      </w:r>
      <w:hyperlink r:id="rId58" w:history="1">
        <w:r w:rsidRPr="003B3E41">
          <w:rPr>
            <w:rStyle w:val="Hyperlink"/>
          </w:rPr>
          <w:t>Creative Commons Attribution 4.0 International (CC BY 4.0) license</w:t>
        </w:r>
      </w:hyperlink>
      <w:r>
        <w:t>.</w:t>
      </w:r>
    </w:p>
    <w:p w14:paraId="0D0A7C8D" w14:textId="30FAE79A" w:rsidR="0073294B" w:rsidRDefault="0073294B" w:rsidP="0073294B">
      <w:pPr>
        <w:spacing w:line="276" w:lineRule="auto"/>
      </w:pPr>
      <w:r>
        <w:rPr>
          <w:noProof/>
        </w:rPr>
        <w:drawing>
          <wp:inline distT="0" distB="0" distL="0" distR="0" wp14:anchorId="3E9BF719" wp14:editId="00634623">
            <wp:extent cx="1228725" cy="428625"/>
            <wp:effectExtent l="0" t="0" r="9525" b="9525"/>
            <wp:docPr id="32" name="Picture 32" descr="Creative Commons Attribution license log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8"/>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658E0FF" w14:textId="77777777" w:rsidR="0073294B" w:rsidRPr="00E80FFD" w:rsidRDefault="0073294B" w:rsidP="0073294B">
      <w:r w:rsidRPr="002D3434">
        <w:t xml:space="preserve">This license allows you to share and </w:t>
      </w:r>
      <w:r w:rsidRPr="00E80FFD">
        <w:t>adapt the material for any purpose, even commercially.</w:t>
      </w:r>
    </w:p>
    <w:p w14:paraId="7ABC842E" w14:textId="77777777" w:rsidR="0073294B" w:rsidRPr="00E80FFD" w:rsidRDefault="0073294B" w:rsidP="0073294B">
      <w:r w:rsidRPr="00E80FFD">
        <w:t>Attribution should be given to © State of New South Wales (Department of Education), 2023.</w:t>
      </w:r>
    </w:p>
    <w:p w14:paraId="2D27C7FB" w14:textId="77777777" w:rsidR="0073294B" w:rsidRPr="002D3434" w:rsidRDefault="0073294B" w:rsidP="0073294B">
      <w:r w:rsidRPr="00E80FFD">
        <w:t>Material in this resource not available</w:t>
      </w:r>
      <w:r w:rsidRPr="002D3434">
        <w:t xml:space="preserve"> under a Creative Commons license:</w:t>
      </w:r>
    </w:p>
    <w:p w14:paraId="6A2FB7FB" w14:textId="77777777" w:rsidR="0073294B" w:rsidRPr="002D3434" w:rsidRDefault="0073294B" w:rsidP="0073294B">
      <w:pPr>
        <w:pStyle w:val="ListBullet"/>
        <w:numPr>
          <w:ilvl w:val="0"/>
          <w:numId w:val="1"/>
        </w:numPr>
        <w:spacing w:line="276" w:lineRule="auto"/>
        <w:contextualSpacing/>
      </w:pPr>
      <w:r w:rsidRPr="002D3434">
        <w:t>the NSW Department of Education logo, other logos and trademark-protected material</w:t>
      </w:r>
    </w:p>
    <w:p w14:paraId="43B2032E" w14:textId="77777777" w:rsidR="0073294B" w:rsidRPr="002D3434" w:rsidRDefault="0073294B" w:rsidP="0073294B">
      <w:pPr>
        <w:pStyle w:val="ListBullet"/>
        <w:numPr>
          <w:ilvl w:val="0"/>
          <w:numId w:val="1"/>
        </w:numPr>
        <w:spacing w:line="276" w:lineRule="auto"/>
        <w:contextualSpacing/>
      </w:pPr>
      <w:r w:rsidRPr="002D3434">
        <w:t>material owned by a third party that has been reproduced with permission. You will need to obtain permission from the third party to reuse its material.</w:t>
      </w:r>
    </w:p>
    <w:p w14:paraId="1F30E43D" w14:textId="77777777" w:rsidR="0073294B" w:rsidRPr="003B3E41" w:rsidRDefault="0073294B" w:rsidP="0073294B">
      <w:pPr>
        <w:pStyle w:val="FeatureBox2"/>
        <w:spacing w:line="276" w:lineRule="auto"/>
        <w:rPr>
          <w:rStyle w:val="Strong"/>
        </w:rPr>
      </w:pPr>
      <w:r w:rsidRPr="003B3E41">
        <w:rPr>
          <w:rStyle w:val="Strong"/>
        </w:rPr>
        <w:t>Links to third-party material and websites</w:t>
      </w:r>
    </w:p>
    <w:p w14:paraId="31B0BA8C" w14:textId="77777777" w:rsidR="0073294B" w:rsidRDefault="0073294B" w:rsidP="0073294B">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26146DD" w14:textId="79A8DA2C" w:rsidR="00D45B16" w:rsidRPr="004137BD" w:rsidRDefault="0073294B" w:rsidP="0073294B">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D45B16" w:rsidRPr="004137BD" w:rsidSect="00A06F31">
      <w:headerReference w:type="default" r:id="rId60"/>
      <w:footerReference w:type="default" r:id="rId61"/>
      <w:headerReference w:type="first" r:id="rId62"/>
      <w:footerReference w:type="first" r:id="rId63"/>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419F" w14:textId="77777777" w:rsidR="00171D98" w:rsidRDefault="00171D98" w:rsidP="00E51733">
      <w:r>
        <w:separator/>
      </w:r>
    </w:p>
  </w:endnote>
  <w:endnote w:type="continuationSeparator" w:id="0">
    <w:p w14:paraId="665B55A4" w14:textId="77777777" w:rsidR="00171D98" w:rsidRDefault="00171D98" w:rsidP="00E51733">
      <w:r>
        <w:continuationSeparator/>
      </w:r>
    </w:p>
  </w:endnote>
  <w:endnote w:type="continuationNotice" w:id="1">
    <w:p w14:paraId="3CAD8CCB" w14:textId="77777777" w:rsidR="00171D98" w:rsidRDefault="00171D9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EFC0" w14:textId="4DD5394A" w:rsidR="00F66145" w:rsidRPr="00E56264" w:rsidRDefault="00677835" w:rsidP="00C80E7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45E9F">
      <w:rPr>
        <w:noProof/>
      </w:rPr>
      <w:t>Dec-23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2AE5" w14:textId="3A48F69F" w:rsidR="00D45B16" w:rsidRPr="00F45053" w:rsidRDefault="00D45B16" w:rsidP="00D45B16">
    <w:pPr>
      <w:pStyle w:val="Footer"/>
      <w:spacing w:before="0"/>
    </w:pPr>
    <w:r>
      <w:t xml:space="preserve">© NSW Department of Education, </w:t>
    </w:r>
    <w:r>
      <w:fldChar w:fldCharType="begin"/>
    </w:r>
    <w:r>
      <w:instrText xml:space="preserve"> DATE  \@ "MMM-yy"  \* MERGEFORMAT </w:instrText>
    </w:r>
    <w:r>
      <w:fldChar w:fldCharType="separate"/>
    </w:r>
    <w:r w:rsidR="00745E9F">
      <w:rPr>
        <w:noProof/>
      </w:rPr>
      <w:t>Dec-23</w:t>
    </w:r>
    <w:r>
      <w:fldChar w:fldCharType="end"/>
    </w:r>
    <w:r>
      <w:ptab w:relativeTo="margin" w:alignment="right" w:leader="none"/>
    </w:r>
    <w:r>
      <w:rPr>
        <w:b/>
        <w:noProof/>
        <w:sz w:val="28"/>
        <w:szCs w:val="28"/>
      </w:rPr>
      <w:drawing>
        <wp:inline distT="0" distB="0" distL="0" distR="0" wp14:anchorId="07DC6072" wp14:editId="0922A50B">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526F" w14:textId="62A40E0A" w:rsidR="00672541" w:rsidRPr="002F375A" w:rsidRDefault="00672541" w:rsidP="00672541">
    <w:pPr>
      <w:pStyle w:val="Logo"/>
      <w:tabs>
        <w:tab w:val="clear" w:pos="10200"/>
        <w:tab w:val="center" w:pos="7300"/>
        <w:tab w:val="right" w:pos="14601"/>
      </w:tabs>
      <w:ind w:right="-31"/>
    </w:pPr>
    <w:r>
      <w:tab/>
    </w:r>
    <w:r>
      <w:tab/>
    </w:r>
    <w:r w:rsidRPr="008426B6">
      <w:rPr>
        <w:noProof/>
      </w:rPr>
      <w:drawing>
        <wp:inline distT="0" distB="0" distL="0" distR="0" wp14:anchorId="613C49AF" wp14:editId="60E3A4DA">
          <wp:extent cx="834442" cy="906218"/>
          <wp:effectExtent l="0" t="0" r="3810" b="8255"/>
          <wp:docPr id="3" name="Graphic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A85C" w14:textId="77777777" w:rsidR="000F5080" w:rsidRDefault="000F50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4855" w14:textId="77777777" w:rsidR="000F5080" w:rsidRPr="00E80FFD" w:rsidRDefault="000F5080"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EDDD" w14:textId="77777777" w:rsidR="00171D98" w:rsidRDefault="00171D98" w:rsidP="00E51733">
      <w:r>
        <w:separator/>
      </w:r>
    </w:p>
  </w:footnote>
  <w:footnote w:type="continuationSeparator" w:id="0">
    <w:p w14:paraId="223D448D" w14:textId="77777777" w:rsidR="00171D98" w:rsidRDefault="00171D98" w:rsidP="00E51733">
      <w:r>
        <w:continuationSeparator/>
      </w:r>
    </w:p>
  </w:footnote>
  <w:footnote w:type="continuationNotice" w:id="1">
    <w:p w14:paraId="59C9F810" w14:textId="77777777" w:rsidR="00171D98" w:rsidRDefault="00171D9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FA2D" w14:textId="0F5B4065" w:rsidR="00D45B16" w:rsidRDefault="00D45B16" w:rsidP="00D45B16">
    <w:pPr>
      <w:pStyle w:val="Documentname"/>
    </w:pPr>
    <w:r w:rsidRPr="00D45B16">
      <w:t xml:space="preserve">Animal </w:t>
    </w:r>
    <w:r w:rsidR="00027535">
      <w:t>s</w:t>
    </w:r>
    <w:r w:rsidRPr="00D45B16">
      <w:t xml:space="preserve">tudies – </w:t>
    </w:r>
    <w:r>
      <w:t>e</w:t>
    </w:r>
    <w:r w:rsidRPr="00D45B16">
      <w:t xml:space="preserve">quine </w:t>
    </w:r>
    <w:r w:rsidR="00071479">
      <w:t>s</w:t>
    </w:r>
    <w:r w:rsidRPr="00D45B16">
      <w:t>tudies</w:t>
    </w:r>
    <w:r w:rsidR="003A4815">
      <w:t xml:space="preserve"> –</w:t>
    </w:r>
    <w:r w:rsidRPr="00D45B16">
      <w:t xml:space="preserve"> Core 1 </w:t>
    </w:r>
    <w:r w:rsidR="00D70014">
      <w:t>– t</w:t>
    </w:r>
    <w:r w:rsidRPr="00D45B16">
      <w:t xml:space="preserve">he </w:t>
    </w:r>
    <w:r>
      <w:t>i</w:t>
    </w:r>
    <w:r w:rsidRPr="00D45B16">
      <w:t>ndustry</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123A" w14:textId="77777777" w:rsidR="003157B7" w:rsidRPr="00FA6449" w:rsidRDefault="00000000" w:rsidP="003157B7">
    <w:pPr>
      <w:pStyle w:val="Header"/>
      <w:spacing w:after="0"/>
    </w:pPr>
    <w:r>
      <w:pict w14:anchorId="39FCC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3157B7" w:rsidRPr="009D43DD">
      <w:t>NSW Department of Education</w:t>
    </w:r>
    <w:r w:rsidR="003157B7"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6E33" w14:textId="77777777" w:rsidR="000F5080" w:rsidRDefault="000F5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9479" w14:textId="77777777" w:rsidR="000F5080" w:rsidRPr="00FA6449" w:rsidRDefault="000F5080"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2562FD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F49EDF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78C1E9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4F67BD"/>
    <w:multiLevelType w:val="hybridMultilevel"/>
    <w:tmpl w:val="14E4E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E6C2E"/>
    <w:multiLevelType w:val="hybridMultilevel"/>
    <w:tmpl w:val="E5049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B9443A"/>
    <w:multiLevelType w:val="hybridMultilevel"/>
    <w:tmpl w:val="75023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B23AD1"/>
    <w:multiLevelType w:val="hybridMultilevel"/>
    <w:tmpl w:val="11D45CF2"/>
    <w:lvl w:ilvl="0" w:tplc="1738FD88">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CF634C"/>
    <w:multiLevelType w:val="hybridMultilevel"/>
    <w:tmpl w:val="57F61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B810EF1"/>
    <w:multiLevelType w:val="hybridMultilevel"/>
    <w:tmpl w:val="C9DEE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04418782">
    <w:abstractNumId w:val="7"/>
  </w:num>
  <w:num w:numId="2" w16cid:durableId="1577857447">
    <w:abstractNumId w:val="7"/>
  </w:num>
  <w:num w:numId="3" w16cid:durableId="1007560186">
    <w:abstractNumId w:val="17"/>
  </w:num>
  <w:num w:numId="4" w16cid:durableId="1598245854">
    <w:abstractNumId w:val="10"/>
  </w:num>
  <w:num w:numId="5" w16cid:durableId="1093209900">
    <w:abstractNumId w:val="12"/>
  </w:num>
  <w:num w:numId="6" w16cid:durableId="1018195900">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1056053812">
    <w:abstractNumId w:val="16"/>
  </w:num>
  <w:num w:numId="8" w16cid:durableId="1981809773">
    <w:abstractNumId w:val="13"/>
  </w:num>
  <w:num w:numId="9" w16cid:durableId="990671941">
    <w:abstractNumId w:val="4"/>
  </w:num>
  <w:num w:numId="10" w16cid:durableId="1679651529">
    <w:abstractNumId w:val="1"/>
  </w:num>
  <w:num w:numId="11" w16cid:durableId="577791548">
    <w:abstractNumId w:val="5"/>
  </w:num>
  <w:num w:numId="12" w16cid:durableId="1182083100">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373192019">
    <w:abstractNumId w:val="3"/>
  </w:num>
  <w:num w:numId="14" w16cid:durableId="754472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588148">
    <w:abstractNumId w:val="11"/>
  </w:num>
  <w:num w:numId="16" w16cid:durableId="545022167">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089275675">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082949073">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257105287">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1340767297">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976910457">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340668612">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2112894707">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1659534108">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488988212">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1597518674">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662317852">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647830212">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311904347">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0" w16cid:durableId="1509052439">
    <w:abstractNumId w:val="7"/>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1" w16cid:durableId="787092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6319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88694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3131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9396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5500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4835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214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0045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5987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1691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2315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2324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2317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68882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0433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55513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7221018">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9" w16cid:durableId="1822307150">
    <w:abstractNumId w:val="18"/>
  </w:num>
  <w:num w:numId="50" w16cid:durableId="1774544983">
    <w:abstractNumId w:val="6"/>
  </w:num>
  <w:num w:numId="51" w16cid:durableId="962268285">
    <w:abstractNumId w:val="15"/>
  </w:num>
  <w:num w:numId="52" w16cid:durableId="586697770">
    <w:abstractNumId w:val="9"/>
  </w:num>
  <w:num w:numId="53" w16cid:durableId="918637056">
    <w:abstractNumId w:val="8"/>
  </w:num>
  <w:num w:numId="54" w16cid:durableId="1184129431">
    <w:abstractNumId w:val="13"/>
    <w:lvlOverride w:ilvl="0">
      <w:lvl w:ilvl="0">
        <w:start w:val="1"/>
        <w:numFmt w:val="decimal"/>
        <w:pStyle w:val="ListBullet2"/>
        <w:lvlText w:val="o"/>
        <w:lvlJc w:val="left"/>
        <w:pPr>
          <w:ind w:left="1134" w:hanging="567"/>
        </w:pPr>
        <w:rPr>
          <w:rFonts w:ascii="Courier New" w:hAnsi="Courier New" w:cs="Times New Roman" w:hint="default"/>
          <w:color w:val="auto"/>
        </w:rPr>
      </w:lvl>
    </w:lvlOverride>
    <w:lvlOverride w:ilvl="1">
      <w:lvl w:ilvl="1">
        <w:start w:val="1"/>
        <w:numFmt w:val="decimal"/>
        <w:lvlText w:val="o"/>
        <w:lvlJc w:val="left"/>
        <w:pPr>
          <w:ind w:left="1440" w:hanging="360"/>
        </w:pPr>
        <w:rPr>
          <w:rFonts w:ascii="Courier New" w:hAnsi="Courier New" w:cs="Courier New" w:hint="default"/>
        </w:rPr>
      </w:lvl>
    </w:lvlOverride>
    <w:lvlOverride w:ilvl="2">
      <w:lvl w:ilvl="2">
        <w:start w:val="1"/>
        <w:numFmt w:val="decimal"/>
        <w:lvlText w:val=""/>
        <w:lvlJc w:val="left"/>
        <w:pPr>
          <w:ind w:left="2160" w:hanging="360"/>
        </w:pPr>
        <w:rPr>
          <w:rFonts w:ascii="Wingdings" w:hAnsi="Wingdings" w:hint="default"/>
        </w:rPr>
      </w:lvl>
    </w:lvlOverride>
    <w:lvlOverride w:ilvl="3">
      <w:lvl w:ilvl="3">
        <w:start w:val="1"/>
        <w:numFmt w:val="decimal"/>
        <w:lvlText w:val=""/>
        <w:lvlJc w:val="left"/>
        <w:pPr>
          <w:ind w:left="2880" w:hanging="360"/>
        </w:pPr>
        <w:rPr>
          <w:rFonts w:ascii="Symbol" w:hAnsi="Symbol" w:hint="default"/>
        </w:rPr>
      </w:lvl>
    </w:lvlOverride>
    <w:lvlOverride w:ilvl="4">
      <w:lvl w:ilvl="4">
        <w:start w:val="1"/>
        <w:numFmt w:val="decimal"/>
        <w:lvlText w:val="o"/>
        <w:lvlJc w:val="left"/>
        <w:pPr>
          <w:ind w:left="3600" w:hanging="360"/>
        </w:pPr>
        <w:rPr>
          <w:rFonts w:ascii="Courier New" w:hAnsi="Courier New" w:cs="Courier New" w:hint="default"/>
        </w:rPr>
      </w:lvl>
    </w:lvlOverride>
    <w:lvlOverride w:ilvl="5">
      <w:lvl w:ilvl="5">
        <w:start w:val="1"/>
        <w:numFmt w:val="decimal"/>
        <w:lvlText w:val=""/>
        <w:lvlJc w:val="left"/>
        <w:pPr>
          <w:ind w:left="4320" w:hanging="360"/>
        </w:pPr>
        <w:rPr>
          <w:rFonts w:ascii="Wingdings" w:hAnsi="Wingdings" w:hint="default"/>
        </w:rPr>
      </w:lvl>
    </w:lvlOverride>
    <w:lvlOverride w:ilvl="6">
      <w:lvl w:ilvl="6">
        <w:start w:val="1"/>
        <w:numFmt w:val="decimal"/>
        <w:lvlText w:val=""/>
        <w:lvlJc w:val="left"/>
        <w:pPr>
          <w:ind w:left="5040" w:hanging="360"/>
        </w:pPr>
        <w:rPr>
          <w:rFonts w:ascii="Symbol" w:hAnsi="Symbol" w:hint="default"/>
        </w:rPr>
      </w:lvl>
    </w:lvlOverride>
    <w:lvlOverride w:ilvl="7">
      <w:lvl w:ilvl="7">
        <w:start w:val="1"/>
        <w:numFmt w:val="decimal"/>
        <w:lvlText w:val="o"/>
        <w:lvlJc w:val="left"/>
        <w:pPr>
          <w:ind w:left="5760" w:hanging="360"/>
        </w:pPr>
        <w:rPr>
          <w:rFonts w:ascii="Courier New" w:hAnsi="Courier New" w:cs="Courier New" w:hint="default"/>
        </w:rPr>
      </w:lvl>
    </w:lvlOverride>
    <w:lvlOverride w:ilvl="8">
      <w:lvl w:ilvl="8">
        <w:start w:val="1"/>
        <w:numFmt w:val="decimal"/>
        <w:lvlText w:val=""/>
        <w:lvlJc w:val="left"/>
        <w:pPr>
          <w:ind w:left="6480" w:hanging="360"/>
        </w:pPr>
        <w:rPr>
          <w:rFonts w:ascii="Wingdings" w:hAnsi="Wingdings" w:hint="default"/>
        </w:rPr>
      </w:lvl>
    </w:lvlOverride>
  </w:num>
  <w:num w:numId="55" w16cid:durableId="259413543">
    <w:abstractNumId w:val="1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6" w16cid:durableId="1334380651">
    <w:abstractNumId w:val="7"/>
  </w:num>
  <w:num w:numId="57" w16cid:durableId="529340590">
    <w:abstractNumId w:val="17"/>
  </w:num>
  <w:num w:numId="58" w16cid:durableId="30427637">
    <w:abstractNumId w:val="10"/>
  </w:num>
  <w:num w:numId="59" w16cid:durableId="321933744">
    <w:abstractNumId w:val="7"/>
  </w:num>
  <w:num w:numId="60" w16cid:durableId="829250645">
    <w:abstractNumId w:val="14"/>
  </w:num>
  <w:num w:numId="61" w16cid:durableId="130363546">
    <w:abstractNumId w:val="5"/>
  </w:num>
  <w:num w:numId="62" w16cid:durableId="464782691">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3" w16cid:durableId="237523282">
    <w:abstractNumId w:val="2"/>
  </w:num>
  <w:num w:numId="64" w16cid:durableId="722338428">
    <w:abstractNumId w:val="2"/>
  </w:num>
  <w:num w:numId="65" w16cid:durableId="2081710185">
    <w:abstractNumId w:val="7"/>
  </w:num>
  <w:num w:numId="66" w16cid:durableId="1806122423">
    <w:abstractNumId w:val="17"/>
  </w:num>
  <w:num w:numId="67" w16cid:durableId="1941256007">
    <w:abstractNumId w:val="0"/>
  </w:num>
  <w:num w:numId="68" w16cid:durableId="1298756445">
    <w:abstractNumId w:val="17"/>
  </w:num>
  <w:num w:numId="69" w16cid:durableId="2083986552">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13"/>
    <w:rsid w:val="0000198F"/>
    <w:rsid w:val="00005210"/>
    <w:rsid w:val="00010318"/>
    <w:rsid w:val="00012496"/>
    <w:rsid w:val="00013263"/>
    <w:rsid w:val="00013FF2"/>
    <w:rsid w:val="00015D99"/>
    <w:rsid w:val="00016B07"/>
    <w:rsid w:val="00017D46"/>
    <w:rsid w:val="00024B99"/>
    <w:rsid w:val="000252CB"/>
    <w:rsid w:val="00027535"/>
    <w:rsid w:val="00032E68"/>
    <w:rsid w:val="0003796F"/>
    <w:rsid w:val="0004103B"/>
    <w:rsid w:val="00041F29"/>
    <w:rsid w:val="00045B56"/>
    <w:rsid w:val="00045F0D"/>
    <w:rsid w:val="0004750C"/>
    <w:rsid w:val="00047DE7"/>
    <w:rsid w:val="00057116"/>
    <w:rsid w:val="000615F7"/>
    <w:rsid w:val="00061D5B"/>
    <w:rsid w:val="000703CC"/>
    <w:rsid w:val="0007075F"/>
    <w:rsid w:val="00071479"/>
    <w:rsid w:val="00074F0F"/>
    <w:rsid w:val="00080AAA"/>
    <w:rsid w:val="000A154F"/>
    <w:rsid w:val="000A695C"/>
    <w:rsid w:val="000B20B0"/>
    <w:rsid w:val="000B2223"/>
    <w:rsid w:val="000B4ACA"/>
    <w:rsid w:val="000B5A83"/>
    <w:rsid w:val="000C1645"/>
    <w:rsid w:val="000C1CC0"/>
    <w:rsid w:val="000C24ED"/>
    <w:rsid w:val="000C6AE6"/>
    <w:rsid w:val="000D3BBE"/>
    <w:rsid w:val="000D4F7A"/>
    <w:rsid w:val="000D62BC"/>
    <w:rsid w:val="000D7466"/>
    <w:rsid w:val="000E058A"/>
    <w:rsid w:val="000E157A"/>
    <w:rsid w:val="000F031E"/>
    <w:rsid w:val="000F5080"/>
    <w:rsid w:val="001009DB"/>
    <w:rsid w:val="00104EA9"/>
    <w:rsid w:val="00106652"/>
    <w:rsid w:val="001109A4"/>
    <w:rsid w:val="00112528"/>
    <w:rsid w:val="0012310F"/>
    <w:rsid w:val="00124746"/>
    <w:rsid w:val="00124C06"/>
    <w:rsid w:val="00127695"/>
    <w:rsid w:val="00130D21"/>
    <w:rsid w:val="001317AB"/>
    <w:rsid w:val="00140A03"/>
    <w:rsid w:val="001441B5"/>
    <w:rsid w:val="00144413"/>
    <w:rsid w:val="00144B13"/>
    <w:rsid w:val="00145F1B"/>
    <w:rsid w:val="00146716"/>
    <w:rsid w:val="00146917"/>
    <w:rsid w:val="00147423"/>
    <w:rsid w:val="00150A39"/>
    <w:rsid w:val="00151D7E"/>
    <w:rsid w:val="001523D9"/>
    <w:rsid w:val="001525B9"/>
    <w:rsid w:val="001549FD"/>
    <w:rsid w:val="00162C26"/>
    <w:rsid w:val="00163EE4"/>
    <w:rsid w:val="00171D98"/>
    <w:rsid w:val="00173516"/>
    <w:rsid w:val="00180E88"/>
    <w:rsid w:val="00183F18"/>
    <w:rsid w:val="001904B1"/>
    <w:rsid w:val="00190C6F"/>
    <w:rsid w:val="00192975"/>
    <w:rsid w:val="00195429"/>
    <w:rsid w:val="001A2D64"/>
    <w:rsid w:val="001A3009"/>
    <w:rsid w:val="001A5698"/>
    <w:rsid w:val="001A750D"/>
    <w:rsid w:val="001B489C"/>
    <w:rsid w:val="001B5B46"/>
    <w:rsid w:val="001B6BCD"/>
    <w:rsid w:val="001C1562"/>
    <w:rsid w:val="001C54E3"/>
    <w:rsid w:val="001C6C40"/>
    <w:rsid w:val="001C7E97"/>
    <w:rsid w:val="001D5230"/>
    <w:rsid w:val="001D553A"/>
    <w:rsid w:val="001D7F37"/>
    <w:rsid w:val="001E1AC9"/>
    <w:rsid w:val="001E3592"/>
    <w:rsid w:val="001E7BFE"/>
    <w:rsid w:val="001F0160"/>
    <w:rsid w:val="001F24AB"/>
    <w:rsid w:val="001F2B2A"/>
    <w:rsid w:val="001F40A2"/>
    <w:rsid w:val="001F72C1"/>
    <w:rsid w:val="001F7EAA"/>
    <w:rsid w:val="00205BFA"/>
    <w:rsid w:val="002105AD"/>
    <w:rsid w:val="00214C02"/>
    <w:rsid w:val="00216095"/>
    <w:rsid w:val="00223195"/>
    <w:rsid w:val="00226D0C"/>
    <w:rsid w:val="00231580"/>
    <w:rsid w:val="00231667"/>
    <w:rsid w:val="00235B22"/>
    <w:rsid w:val="00235D3D"/>
    <w:rsid w:val="00237BE3"/>
    <w:rsid w:val="00241A63"/>
    <w:rsid w:val="00241FB6"/>
    <w:rsid w:val="00246444"/>
    <w:rsid w:val="002466A5"/>
    <w:rsid w:val="00252238"/>
    <w:rsid w:val="00252D5A"/>
    <w:rsid w:val="00253013"/>
    <w:rsid w:val="00254F89"/>
    <w:rsid w:val="00260E52"/>
    <w:rsid w:val="002634DD"/>
    <w:rsid w:val="00265343"/>
    <w:rsid w:val="00265467"/>
    <w:rsid w:val="0026548C"/>
    <w:rsid w:val="00265DFF"/>
    <w:rsid w:val="00266207"/>
    <w:rsid w:val="0026797C"/>
    <w:rsid w:val="0027281D"/>
    <w:rsid w:val="0027370C"/>
    <w:rsid w:val="00274F95"/>
    <w:rsid w:val="00276FAD"/>
    <w:rsid w:val="002776B0"/>
    <w:rsid w:val="00281832"/>
    <w:rsid w:val="00285380"/>
    <w:rsid w:val="00286FFC"/>
    <w:rsid w:val="0029504C"/>
    <w:rsid w:val="002A28B4"/>
    <w:rsid w:val="002A2B8C"/>
    <w:rsid w:val="002A35CF"/>
    <w:rsid w:val="002A429C"/>
    <w:rsid w:val="002A468D"/>
    <w:rsid w:val="002A475D"/>
    <w:rsid w:val="002B32C6"/>
    <w:rsid w:val="002B3D75"/>
    <w:rsid w:val="002B666B"/>
    <w:rsid w:val="002B6AE4"/>
    <w:rsid w:val="002C0923"/>
    <w:rsid w:val="002C0E5F"/>
    <w:rsid w:val="002C2C38"/>
    <w:rsid w:val="002C448A"/>
    <w:rsid w:val="002C7C1C"/>
    <w:rsid w:val="002C7DD0"/>
    <w:rsid w:val="002D35AF"/>
    <w:rsid w:val="002D796B"/>
    <w:rsid w:val="002E0799"/>
    <w:rsid w:val="002E26EB"/>
    <w:rsid w:val="002E766B"/>
    <w:rsid w:val="002F0E6E"/>
    <w:rsid w:val="002F499E"/>
    <w:rsid w:val="002F681B"/>
    <w:rsid w:val="002F7CFE"/>
    <w:rsid w:val="002F7E9E"/>
    <w:rsid w:val="003046A9"/>
    <w:rsid w:val="00304E62"/>
    <w:rsid w:val="003065FC"/>
    <w:rsid w:val="003068E3"/>
    <w:rsid w:val="00306C23"/>
    <w:rsid w:val="003134D6"/>
    <w:rsid w:val="003149C8"/>
    <w:rsid w:val="003157B7"/>
    <w:rsid w:val="00316DDE"/>
    <w:rsid w:val="00316EEC"/>
    <w:rsid w:val="003212DE"/>
    <w:rsid w:val="003229E3"/>
    <w:rsid w:val="003363F4"/>
    <w:rsid w:val="00340728"/>
    <w:rsid w:val="00340DD9"/>
    <w:rsid w:val="00346361"/>
    <w:rsid w:val="00351A13"/>
    <w:rsid w:val="00354813"/>
    <w:rsid w:val="00355005"/>
    <w:rsid w:val="00356958"/>
    <w:rsid w:val="00360E17"/>
    <w:rsid w:val="0036209C"/>
    <w:rsid w:val="00363D29"/>
    <w:rsid w:val="00371922"/>
    <w:rsid w:val="003738A2"/>
    <w:rsid w:val="00381F7D"/>
    <w:rsid w:val="0038203C"/>
    <w:rsid w:val="0038332C"/>
    <w:rsid w:val="0038506D"/>
    <w:rsid w:val="00385B8B"/>
    <w:rsid w:val="00385DFB"/>
    <w:rsid w:val="003861A7"/>
    <w:rsid w:val="0038778D"/>
    <w:rsid w:val="00390B20"/>
    <w:rsid w:val="00391785"/>
    <w:rsid w:val="00395CCA"/>
    <w:rsid w:val="00396CF7"/>
    <w:rsid w:val="003A4815"/>
    <w:rsid w:val="003A5190"/>
    <w:rsid w:val="003B100C"/>
    <w:rsid w:val="003B1775"/>
    <w:rsid w:val="003B20E2"/>
    <w:rsid w:val="003B240E"/>
    <w:rsid w:val="003B3463"/>
    <w:rsid w:val="003B3B23"/>
    <w:rsid w:val="003B6456"/>
    <w:rsid w:val="003C1F36"/>
    <w:rsid w:val="003C2BEC"/>
    <w:rsid w:val="003C44BB"/>
    <w:rsid w:val="003C654E"/>
    <w:rsid w:val="003C747F"/>
    <w:rsid w:val="003D0CCF"/>
    <w:rsid w:val="003D13EF"/>
    <w:rsid w:val="003D57D1"/>
    <w:rsid w:val="003E08FA"/>
    <w:rsid w:val="003E534D"/>
    <w:rsid w:val="003E7BB6"/>
    <w:rsid w:val="003F0CB7"/>
    <w:rsid w:val="003F191C"/>
    <w:rsid w:val="003F21AC"/>
    <w:rsid w:val="003F5EE8"/>
    <w:rsid w:val="00400891"/>
    <w:rsid w:val="00401084"/>
    <w:rsid w:val="00401C02"/>
    <w:rsid w:val="0040766E"/>
    <w:rsid w:val="00407D2F"/>
    <w:rsid w:val="00407EF0"/>
    <w:rsid w:val="0041120B"/>
    <w:rsid w:val="00412F2B"/>
    <w:rsid w:val="004171C4"/>
    <w:rsid w:val="004178B3"/>
    <w:rsid w:val="00430F12"/>
    <w:rsid w:val="004359CD"/>
    <w:rsid w:val="00436CDA"/>
    <w:rsid w:val="00444FBD"/>
    <w:rsid w:val="00446F8D"/>
    <w:rsid w:val="00450866"/>
    <w:rsid w:val="00452D1C"/>
    <w:rsid w:val="004544F7"/>
    <w:rsid w:val="00455398"/>
    <w:rsid w:val="0046429B"/>
    <w:rsid w:val="00464704"/>
    <w:rsid w:val="004662AB"/>
    <w:rsid w:val="00466300"/>
    <w:rsid w:val="00467E14"/>
    <w:rsid w:val="00474C35"/>
    <w:rsid w:val="004779B1"/>
    <w:rsid w:val="00480185"/>
    <w:rsid w:val="0048642E"/>
    <w:rsid w:val="00487565"/>
    <w:rsid w:val="00491EED"/>
    <w:rsid w:val="004938BA"/>
    <w:rsid w:val="00493B51"/>
    <w:rsid w:val="004A670D"/>
    <w:rsid w:val="004B04F9"/>
    <w:rsid w:val="004B3F2D"/>
    <w:rsid w:val="004B484F"/>
    <w:rsid w:val="004B693A"/>
    <w:rsid w:val="004C0F51"/>
    <w:rsid w:val="004C11A9"/>
    <w:rsid w:val="004C3C41"/>
    <w:rsid w:val="004C44F8"/>
    <w:rsid w:val="004C71AC"/>
    <w:rsid w:val="004D0D65"/>
    <w:rsid w:val="004D2826"/>
    <w:rsid w:val="004D60B3"/>
    <w:rsid w:val="004E372A"/>
    <w:rsid w:val="004E7ABB"/>
    <w:rsid w:val="004F0391"/>
    <w:rsid w:val="004F0F10"/>
    <w:rsid w:val="004F48DD"/>
    <w:rsid w:val="004F6AF2"/>
    <w:rsid w:val="00500AB2"/>
    <w:rsid w:val="005079CD"/>
    <w:rsid w:val="00511155"/>
    <w:rsid w:val="00511863"/>
    <w:rsid w:val="0052601A"/>
    <w:rsid w:val="00526795"/>
    <w:rsid w:val="00526F21"/>
    <w:rsid w:val="005315E6"/>
    <w:rsid w:val="005338AF"/>
    <w:rsid w:val="0053398F"/>
    <w:rsid w:val="00536CD5"/>
    <w:rsid w:val="0053772C"/>
    <w:rsid w:val="005403BA"/>
    <w:rsid w:val="0054041D"/>
    <w:rsid w:val="00541FBB"/>
    <w:rsid w:val="0054714B"/>
    <w:rsid w:val="005574A7"/>
    <w:rsid w:val="00562383"/>
    <w:rsid w:val="00564014"/>
    <w:rsid w:val="005649D2"/>
    <w:rsid w:val="005733A4"/>
    <w:rsid w:val="00574C51"/>
    <w:rsid w:val="00575CFF"/>
    <w:rsid w:val="005761C2"/>
    <w:rsid w:val="005807D5"/>
    <w:rsid w:val="005808A3"/>
    <w:rsid w:val="0058102D"/>
    <w:rsid w:val="0058266E"/>
    <w:rsid w:val="00582ADC"/>
    <w:rsid w:val="00583731"/>
    <w:rsid w:val="00583A84"/>
    <w:rsid w:val="00584C35"/>
    <w:rsid w:val="00593345"/>
    <w:rsid w:val="005934B4"/>
    <w:rsid w:val="00596434"/>
    <w:rsid w:val="005A10F6"/>
    <w:rsid w:val="005A47C7"/>
    <w:rsid w:val="005A67CA"/>
    <w:rsid w:val="005B0CEA"/>
    <w:rsid w:val="005B184F"/>
    <w:rsid w:val="005B387C"/>
    <w:rsid w:val="005B4EE8"/>
    <w:rsid w:val="005B5ED4"/>
    <w:rsid w:val="005B6BDF"/>
    <w:rsid w:val="005B75AD"/>
    <w:rsid w:val="005B77E0"/>
    <w:rsid w:val="005C0836"/>
    <w:rsid w:val="005C14A7"/>
    <w:rsid w:val="005C2E6C"/>
    <w:rsid w:val="005C33E6"/>
    <w:rsid w:val="005C617E"/>
    <w:rsid w:val="005D4243"/>
    <w:rsid w:val="005D460E"/>
    <w:rsid w:val="005D46AD"/>
    <w:rsid w:val="005D49FE"/>
    <w:rsid w:val="005D6B5A"/>
    <w:rsid w:val="005D7FAC"/>
    <w:rsid w:val="005E0DAE"/>
    <w:rsid w:val="005E1F63"/>
    <w:rsid w:val="005E3B9A"/>
    <w:rsid w:val="005E6188"/>
    <w:rsid w:val="005E6E8D"/>
    <w:rsid w:val="005F1F8B"/>
    <w:rsid w:val="005F2BFF"/>
    <w:rsid w:val="005F63FF"/>
    <w:rsid w:val="00601EBD"/>
    <w:rsid w:val="00617849"/>
    <w:rsid w:val="00624B31"/>
    <w:rsid w:val="00626BBF"/>
    <w:rsid w:val="00627704"/>
    <w:rsid w:val="00631600"/>
    <w:rsid w:val="0063237E"/>
    <w:rsid w:val="00634B29"/>
    <w:rsid w:val="006360A6"/>
    <w:rsid w:val="00636A4C"/>
    <w:rsid w:val="0064239B"/>
    <w:rsid w:val="0064273E"/>
    <w:rsid w:val="00643CC4"/>
    <w:rsid w:val="006462D3"/>
    <w:rsid w:val="00653774"/>
    <w:rsid w:val="00664CBD"/>
    <w:rsid w:val="0066685E"/>
    <w:rsid w:val="00666AA0"/>
    <w:rsid w:val="006710A0"/>
    <w:rsid w:val="00672541"/>
    <w:rsid w:val="00677835"/>
    <w:rsid w:val="00677FDD"/>
    <w:rsid w:val="00680388"/>
    <w:rsid w:val="00682ECB"/>
    <w:rsid w:val="00696410"/>
    <w:rsid w:val="00697892"/>
    <w:rsid w:val="006A21EE"/>
    <w:rsid w:val="006A34B6"/>
    <w:rsid w:val="006A3884"/>
    <w:rsid w:val="006A528A"/>
    <w:rsid w:val="006A6A7D"/>
    <w:rsid w:val="006B3913"/>
    <w:rsid w:val="006B6FC1"/>
    <w:rsid w:val="006C01FA"/>
    <w:rsid w:val="006C45B7"/>
    <w:rsid w:val="006C5DDA"/>
    <w:rsid w:val="006D00B0"/>
    <w:rsid w:val="006D1CF3"/>
    <w:rsid w:val="006D4109"/>
    <w:rsid w:val="006D6BA9"/>
    <w:rsid w:val="006D712F"/>
    <w:rsid w:val="006E1B78"/>
    <w:rsid w:val="006E2D77"/>
    <w:rsid w:val="006E54D3"/>
    <w:rsid w:val="006F1644"/>
    <w:rsid w:val="006F2EDA"/>
    <w:rsid w:val="006F32D9"/>
    <w:rsid w:val="006F5828"/>
    <w:rsid w:val="00703220"/>
    <w:rsid w:val="00703817"/>
    <w:rsid w:val="00707AB2"/>
    <w:rsid w:val="007140A5"/>
    <w:rsid w:val="00715D50"/>
    <w:rsid w:val="00717237"/>
    <w:rsid w:val="007172AD"/>
    <w:rsid w:val="00717316"/>
    <w:rsid w:val="0072295B"/>
    <w:rsid w:val="00723FB2"/>
    <w:rsid w:val="0073294B"/>
    <w:rsid w:val="00732E7E"/>
    <w:rsid w:val="007358DF"/>
    <w:rsid w:val="007366AD"/>
    <w:rsid w:val="0073700E"/>
    <w:rsid w:val="0073764E"/>
    <w:rsid w:val="0074173C"/>
    <w:rsid w:val="00741F92"/>
    <w:rsid w:val="00744B16"/>
    <w:rsid w:val="00745E9F"/>
    <w:rsid w:val="0074761E"/>
    <w:rsid w:val="0075371A"/>
    <w:rsid w:val="00755E49"/>
    <w:rsid w:val="0076162D"/>
    <w:rsid w:val="0076389C"/>
    <w:rsid w:val="00765E96"/>
    <w:rsid w:val="00766D19"/>
    <w:rsid w:val="007764F7"/>
    <w:rsid w:val="00780012"/>
    <w:rsid w:val="00783B88"/>
    <w:rsid w:val="00792B8A"/>
    <w:rsid w:val="007A3A08"/>
    <w:rsid w:val="007A6B28"/>
    <w:rsid w:val="007B020C"/>
    <w:rsid w:val="007B0B9D"/>
    <w:rsid w:val="007B2EB7"/>
    <w:rsid w:val="007B523A"/>
    <w:rsid w:val="007B52CF"/>
    <w:rsid w:val="007B73B1"/>
    <w:rsid w:val="007C21A6"/>
    <w:rsid w:val="007C22EC"/>
    <w:rsid w:val="007C33E6"/>
    <w:rsid w:val="007C3498"/>
    <w:rsid w:val="007C58F1"/>
    <w:rsid w:val="007C61E6"/>
    <w:rsid w:val="007D0E87"/>
    <w:rsid w:val="007D153A"/>
    <w:rsid w:val="007E5932"/>
    <w:rsid w:val="007E6B26"/>
    <w:rsid w:val="007F066A"/>
    <w:rsid w:val="007F0FEB"/>
    <w:rsid w:val="007F4D39"/>
    <w:rsid w:val="007F6ACF"/>
    <w:rsid w:val="007F6BE6"/>
    <w:rsid w:val="00800CB8"/>
    <w:rsid w:val="008018F5"/>
    <w:rsid w:val="0080248A"/>
    <w:rsid w:val="00803E7A"/>
    <w:rsid w:val="00804F58"/>
    <w:rsid w:val="00805E4E"/>
    <w:rsid w:val="008073B1"/>
    <w:rsid w:val="0080761C"/>
    <w:rsid w:val="008107BE"/>
    <w:rsid w:val="008121E4"/>
    <w:rsid w:val="00814377"/>
    <w:rsid w:val="00817D96"/>
    <w:rsid w:val="00820B14"/>
    <w:rsid w:val="00821068"/>
    <w:rsid w:val="00821A48"/>
    <w:rsid w:val="008263E4"/>
    <w:rsid w:val="00833E71"/>
    <w:rsid w:val="00834230"/>
    <w:rsid w:val="00836687"/>
    <w:rsid w:val="00837902"/>
    <w:rsid w:val="00842631"/>
    <w:rsid w:val="008502F8"/>
    <w:rsid w:val="008559F3"/>
    <w:rsid w:val="00856CA3"/>
    <w:rsid w:val="00865BC1"/>
    <w:rsid w:val="00873D29"/>
    <w:rsid w:val="0087496A"/>
    <w:rsid w:val="008753E6"/>
    <w:rsid w:val="0087612C"/>
    <w:rsid w:val="00876432"/>
    <w:rsid w:val="00876CE4"/>
    <w:rsid w:val="00880E58"/>
    <w:rsid w:val="008821FC"/>
    <w:rsid w:val="008852D2"/>
    <w:rsid w:val="008853A0"/>
    <w:rsid w:val="008874F9"/>
    <w:rsid w:val="00890098"/>
    <w:rsid w:val="00890EEE"/>
    <w:rsid w:val="00892EB5"/>
    <w:rsid w:val="00895038"/>
    <w:rsid w:val="008A1ED9"/>
    <w:rsid w:val="008A1F32"/>
    <w:rsid w:val="008A4CF6"/>
    <w:rsid w:val="008B5476"/>
    <w:rsid w:val="008B708A"/>
    <w:rsid w:val="008B777E"/>
    <w:rsid w:val="008B788F"/>
    <w:rsid w:val="008C0A25"/>
    <w:rsid w:val="008C2E61"/>
    <w:rsid w:val="008C2F80"/>
    <w:rsid w:val="008C5850"/>
    <w:rsid w:val="008C5EB0"/>
    <w:rsid w:val="008D4638"/>
    <w:rsid w:val="008E3DE9"/>
    <w:rsid w:val="008E4D8A"/>
    <w:rsid w:val="008F0006"/>
    <w:rsid w:val="008F182D"/>
    <w:rsid w:val="008F3187"/>
    <w:rsid w:val="009004E7"/>
    <w:rsid w:val="00902A59"/>
    <w:rsid w:val="00904360"/>
    <w:rsid w:val="0090586A"/>
    <w:rsid w:val="00905F53"/>
    <w:rsid w:val="00907801"/>
    <w:rsid w:val="009107ED"/>
    <w:rsid w:val="00910D33"/>
    <w:rsid w:val="00911F06"/>
    <w:rsid w:val="00912AB9"/>
    <w:rsid w:val="009136D8"/>
    <w:rsid w:val="009138BF"/>
    <w:rsid w:val="00916440"/>
    <w:rsid w:val="0092392C"/>
    <w:rsid w:val="0092525A"/>
    <w:rsid w:val="00925B1F"/>
    <w:rsid w:val="00926FB1"/>
    <w:rsid w:val="009321B5"/>
    <w:rsid w:val="0093679E"/>
    <w:rsid w:val="009415FF"/>
    <w:rsid w:val="00941BF6"/>
    <w:rsid w:val="00942BD9"/>
    <w:rsid w:val="00944CEF"/>
    <w:rsid w:val="00953D35"/>
    <w:rsid w:val="00954A2A"/>
    <w:rsid w:val="00961FA7"/>
    <w:rsid w:val="00965F68"/>
    <w:rsid w:val="00967F8D"/>
    <w:rsid w:val="0097028E"/>
    <w:rsid w:val="009739C8"/>
    <w:rsid w:val="00973AD0"/>
    <w:rsid w:val="00976661"/>
    <w:rsid w:val="00976FF6"/>
    <w:rsid w:val="0098138E"/>
    <w:rsid w:val="00982157"/>
    <w:rsid w:val="009822E3"/>
    <w:rsid w:val="0098684E"/>
    <w:rsid w:val="00987944"/>
    <w:rsid w:val="00990DFC"/>
    <w:rsid w:val="009948F3"/>
    <w:rsid w:val="00994AF4"/>
    <w:rsid w:val="00995759"/>
    <w:rsid w:val="00997F7B"/>
    <w:rsid w:val="009A10A6"/>
    <w:rsid w:val="009A139E"/>
    <w:rsid w:val="009A6A11"/>
    <w:rsid w:val="009B1280"/>
    <w:rsid w:val="009B2550"/>
    <w:rsid w:val="009B52AD"/>
    <w:rsid w:val="009C26B9"/>
    <w:rsid w:val="009C2C09"/>
    <w:rsid w:val="009C2DB5"/>
    <w:rsid w:val="009C5B0E"/>
    <w:rsid w:val="009C6C53"/>
    <w:rsid w:val="009C71CD"/>
    <w:rsid w:val="009D0781"/>
    <w:rsid w:val="009D4DF2"/>
    <w:rsid w:val="009E423B"/>
    <w:rsid w:val="009F0CB3"/>
    <w:rsid w:val="009F15C0"/>
    <w:rsid w:val="009F2F27"/>
    <w:rsid w:val="009F3981"/>
    <w:rsid w:val="009F40B3"/>
    <w:rsid w:val="009F42B4"/>
    <w:rsid w:val="009F5979"/>
    <w:rsid w:val="009F6D62"/>
    <w:rsid w:val="009F73C6"/>
    <w:rsid w:val="009F76F7"/>
    <w:rsid w:val="00A00049"/>
    <w:rsid w:val="00A01280"/>
    <w:rsid w:val="00A0166E"/>
    <w:rsid w:val="00A0229C"/>
    <w:rsid w:val="00A02339"/>
    <w:rsid w:val="00A02C57"/>
    <w:rsid w:val="00A03F99"/>
    <w:rsid w:val="00A041A6"/>
    <w:rsid w:val="00A05200"/>
    <w:rsid w:val="00A119B4"/>
    <w:rsid w:val="00A149EB"/>
    <w:rsid w:val="00A16CF0"/>
    <w:rsid w:val="00A170A2"/>
    <w:rsid w:val="00A2074D"/>
    <w:rsid w:val="00A25C45"/>
    <w:rsid w:val="00A306DF"/>
    <w:rsid w:val="00A32F49"/>
    <w:rsid w:val="00A33F0C"/>
    <w:rsid w:val="00A37B05"/>
    <w:rsid w:val="00A40D1E"/>
    <w:rsid w:val="00A418A6"/>
    <w:rsid w:val="00A43489"/>
    <w:rsid w:val="00A43D56"/>
    <w:rsid w:val="00A51D3F"/>
    <w:rsid w:val="00A52C49"/>
    <w:rsid w:val="00A534B8"/>
    <w:rsid w:val="00A534F5"/>
    <w:rsid w:val="00A54063"/>
    <w:rsid w:val="00A5409F"/>
    <w:rsid w:val="00A552FE"/>
    <w:rsid w:val="00A56ACC"/>
    <w:rsid w:val="00A56F28"/>
    <w:rsid w:val="00A57460"/>
    <w:rsid w:val="00A60D0E"/>
    <w:rsid w:val="00A60FE0"/>
    <w:rsid w:val="00A61CD1"/>
    <w:rsid w:val="00A63054"/>
    <w:rsid w:val="00A65EBC"/>
    <w:rsid w:val="00A7116D"/>
    <w:rsid w:val="00A71A09"/>
    <w:rsid w:val="00A71F6E"/>
    <w:rsid w:val="00A72039"/>
    <w:rsid w:val="00A84861"/>
    <w:rsid w:val="00A906B0"/>
    <w:rsid w:val="00A96B54"/>
    <w:rsid w:val="00AA0A95"/>
    <w:rsid w:val="00AA311E"/>
    <w:rsid w:val="00AA5179"/>
    <w:rsid w:val="00AB099B"/>
    <w:rsid w:val="00AB2609"/>
    <w:rsid w:val="00AB66F1"/>
    <w:rsid w:val="00AC18D3"/>
    <w:rsid w:val="00AC3379"/>
    <w:rsid w:val="00AC41AD"/>
    <w:rsid w:val="00AD1582"/>
    <w:rsid w:val="00AD379F"/>
    <w:rsid w:val="00AE1F38"/>
    <w:rsid w:val="00AE7A30"/>
    <w:rsid w:val="00B00482"/>
    <w:rsid w:val="00B02A6B"/>
    <w:rsid w:val="00B06FAD"/>
    <w:rsid w:val="00B16DCF"/>
    <w:rsid w:val="00B2036D"/>
    <w:rsid w:val="00B2055C"/>
    <w:rsid w:val="00B20736"/>
    <w:rsid w:val="00B2106D"/>
    <w:rsid w:val="00B2389A"/>
    <w:rsid w:val="00B26C50"/>
    <w:rsid w:val="00B320AF"/>
    <w:rsid w:val="00B33DAC"/>
    <w:rsid w:val="00B37979"/>
    <w:rsid w:val="00B42315"/>
    <w:rsid w:val="00B46033"/>
    <w:rsid w:val="00B51030"/>
    <w:rsid w:val="00B56C9A"/>
    <w:rsid w:val="00B609CC"/>
    <w:rsid w:val="00B620AB"/>
    <w:rsid w:val="00B65452"/>
    <w:rsid w:val="00B65D33"/>
    <w:rsid w:val="00B72931"/>
    <w:rsid w:val="00B72BCA"/>
    <w:rsid w:val="00B77F5E"/>
    <w:rsid w:val="00B80AAD"/>
    <w:rsid w:val="00B81F0A"/>
    <w:rsid w:val="00B83885"/>
    <w:rsid w:val="00B85C4F"/>
    <w:rsid w:val="00B93954"/>
    <w:rsid w:val="00B94B24"/>
    <w:rsid w:val="00BA3119"/>
    <w:rsid w:val="00BA56BE"/>
    <w:rsid w:val="00BA7230"/>
    <w:rsid w:val="00BA7AAB"/>
    <w:rsid w:val="00BB34B0"/>
    <w:rsid w:val="00BB7A07"/>
    <w:rsid w:val="00BC1949"/>
    <w:rsid w:val="00BC1E9E"/>
    <w:rsid w:val="00BC307D"/>
    <w:rsid w:val="00BC52BA"/>
    <w:rsid w:val="00BC5A27"/>
    <w:rsid w:val="00BC5E69"/>
    <w:rsid w:val="00BC6172"/>
    <w:rsid w:val="00BD3D8F"/>
    <w:rsid w:val="00BD7A18"/>
    <w:rsid w:val="00BE4BC9"/>
    <w:rsid w:val="00BE4C69"/>
    <w:rsid w:val="00BF000F"/>
    <w:rsid w:val="00BF35D4"/>
    <w:rsid w:val="00BF52D3"/>
    <w:rsid w:val="00BF65C9"/>
    <w:rsid w:val="00BF66BF"/>
    <w:rsid w:val="00BF67A4"/>
    <w:rsid w:val="00BF717D"/>
    <w:rsid w:val="00BF732E"/>
    <w:rsid w:val="00BF7A46"/>
    <w:rsid w:val="00C03F0A"/>
    <w:rsid w:val="00C1211E"/>
    <w:rsid w:val="00C12DE7"/>
    <w:rsid w:val="00C15C1F"/>
    <w:rsid w:val="00C258EB"/>
    <w:rsid w:val="00C26FCC"/>
    <w:rsid w:val="00C30365"/>
    <w:rsid w:val="00C33849"/>
    <w:rsid w:val="00C3626A"/>
    <w:rsid w:val="00C42D3B"/>
    <w:rsid w:val="00C436AB"/>
    <w:rsid w:val="00C43F45"/>
    <w:rsid w:val="00C507C5"/>
    <w:rsid w:val="00C53831"/>
    <w:rsid w:val="00C56A62"/>
    <w:rsid w:val="00C574D4"/>
    <w:rsid w:val="00C62B29"/>
    <w:rsid w:val="00C664FC"/>
    <w:rsid w:val="00C727AF"/>
    <w:rsid w:val="00C755F1"/>
    <w:rsid w:val="00C80B43"/>
    <w:rsid w:val="00C80E73"/>
    <w:rsid w:val="00C831C4"/>
    <w:rsid w:val="00C86985"/>
    <w:rsid w:val="00C87EFC"/>
    <w:rsid w:val="00C925D4"/>
    <w:rsid w:val="00C93B54"/>
    <w:rsid w:val="00C95CD8"/>
    <w:rsid w:val="00C9752E"/>
    <w:rsid w:val="00CA0226"/>
    <w:rsid w:val="00CA3566"/>
    <w:rsid w:val="00CA5766"/>
    <w:rsid w:val="00CA6EA3"/>
    <w:rsid w:val="00CB0D68"/>
    <w:rsid w:val="00CB1807"/>
    <w:rsid w:val="00CB2145"/>
    <w:rsid w:val="00CB5579"/>
    <w:rsid w:val="00CB66B0"/>
    <w:rsid w:val="00CB72BB"/>
    <w:rsid w:val="00CC0015"/>
    <w:rsid w:val="00CC035E"/>
    <w:rsid w:val="00CC1930"/>
    <w:rsid w:val="00CC3CDA"/>
    <w:rsid w:val="00CD5A9A"/>
    <w:rsid w:val="00CD6723"/>
    <w:rsid w:val="00CE2C2F"/>
    <w:rsid w:val="00CE2D0C"/>
    <w:rsid w:val="00CE58FE"/>
    <w:rsid w:val="00CF001A"/>
    <w:rsid w:val="00CF73E9"/>
    <w:rsid w:val="00D0323B"/>
    <w:rsid w:val="00D136E3"/>
    <w:rsid w:val="00D139CD"/>
    <w:rsid w:val="00D15A52"/>
    <w:rsid w:val="00D16CBA"/>
    <w:rsid w:val="00D21F18"/>
    <w:rsid w:val="00D31E35"/>
    <w:rsid w:val="00D321E4"/>
    <w:rsid w:val="00D32997"/>
    <w:rsid w:val="00D35E19"/>
    <w:rsid w:val="00D415E9"/>
    <w:rsid w:val="00D41C19"/>
    <w:rsid w:val="00D43AA9"/>
    <w:rsid w:val="00D445B2"/>
    <w:rsid w:val="00D45B16"/>
    <w:rsid w:val="00D45B71"/>
    <w:rsid w:val="00D60C63"/>
    <w:rsid w:val="00D611DE"/>
    <w:rsid w:val="00D61CE0"/>
    <w:rsid w:val="00D6246F"/>
    <w:rsid w:val="00D639AA"/>
    <w:rsid w:val="00D65808"/>
    <w:rsid w:val="00D66992"/>
    <w:rsid w:val="00D671BC"/>
    <w:rsid w:val="00D678DB"/>
    <w:rsid w:val="00D70014"/>
    <w:rsid w:val="00D7499C"/>
    <w:rsid w:val="00D76B7D"/>
    <w:rsid w:val="00D81B8C"/>
    <w:rsid w:val="00D8472B"/>
    <w:rsid w:val="00D8653C"/>
    <w:rsid w:val="00D90C13"/>
    <w:rsid w:val="00D93C31"/>
    <w:rsid w:val="00D94C9E"/>
    <w:rsid w:val="00D95F2D"/>
    <w:rsid w:val="00D979EA"/>
    <w:rsid w:val="00DA4955"/>
    <w:rsid w:val="00DA5450"/>
    <w:rsid w:val="00DA62E1"/>
    <w:rsid w:val="00DB0504"/>
    <w:rsid w:val="00DC0E01"/>
    <w:rsid w:val="00DC2810"/>
    <w:rsid w:val="00DC74E1"/>
    <w:rsid w:val="00DD2F4E"/>
    <w:rsid w:val="00DD3E03"/>
    <w:rsid w:val="00DD4E86"/>
    <w:rsid w:val="00DD641E"/>
    <w:rsid w:val="00DE07A5"/>
    <w:rsid w:val="00DE09AE"/>
    <w:rsid w:val="00DE285D"/>
    <w:rsid w:val="00DE2CE3"/>
    <w:rsid w:val="00DE2EE8"/>
    <w:rsid w:val="00DF2662"/>
    <w:rsid w:val="00DF2AE0"/>
    <w:rsid w:val="00DF3729"/>
    <w:rsid w:val="00DF63DD"/>
    <w:rsid w:val="00E0297F"/>
    <w:rsid w:val="00E04DAF"/>
    <w:rsid w:val="00E112C7"/>
    <w:rsid w:val="00E119C2"/>
    <w:rsid w:val="00E1370E"/>
    <w:rsid w:val="00E203AF"/>
    <w:rsid w:val="00E21C7F"/>
    <w:rsid w:val="00E22699"/>
    <w:rsid w:val="00E24837"/>
    <w:rsid w:val="00E404B4"/>
    <w:rsid w:val="00E4272D"/>
    <w:rsid w:val="00E44847"/>
    <w:rsid w:val="00E450BF"/>
    <w:rsid w:val="00E452CE"/>
    <w:rsid w:val="00E4595C"/>
    <w:rsid w:val="00E45A21"/>
    <w:rsid w:val="00E467C5"/>
    <w:rsid w:val="00E46C1E"/>
    <w:rsid w:val="00E5058E"/>
    <w:rsid w:val="00E5170D"/>
    <w:rsid w:val="00E51733"/>
    <w:rsid w:val="00E56264"/>
    <w:rsid w:val="00E56427"/>
    <w:rsid w:val="00E5685D"/>
    <w:rsid w:val="00E604B6"/>
    <w:rsid w:val="00E6195D"/>
    <w:rsid w:val="00E650ED"/>
    <w:rsid w:val="00E66CA0"/>
    <w:rsid w:val="00E7177D"/>
    <w:rsid w:val="00E71E8F"/>
    <w:rsid w:val="00E76409"/>
    <w:rsid w:val="00E836F5"/>
    <w:rsid w:val="00E87C7A"/>
    <w:rsid w:val="00E9689C"/>
    <w:rsid w:val="00EA1A7A"/>
    <w:rsid w:val="00EA7095"/>
    <w:rsid w:val="00EA7893"/>
    <w:rsid w:val="00EB24BB"/>
    <w:rsid w:val="00EB5EE3"/>
    <w:rsid w:val="00EB705C"/>
    <w:rsid w:val="00EC1BB5"/>
    <w:rsid w:val="00ED2647"/>
    <w:rsid w:val="00ED342F"/>
    <w:rsid w:val="00ED4E9E"/>
    <w:rsid w:val="00ED5CF8"/>
    <w:rsid w:val="00ED6FD8"/>
    <w:rsid w:val="00EE199B"/>
    <w:rsid w:val="00EE3F30"/>
    <w:rsid w:val="00EE7329"/>
    <w:rsid w:val="00EF175C"/>
    <w:rsid w:val="00EF2CCF"/>
    <w:rsid w:val="00EF3F71"/>
    <w:rsid w:val="00EF5ADE"/>
    <w:rsid w:val="00F014B2"/>
    <w:rsid w:val="00F07C5A"/>
    <w:rsid w:val="00F14D7F"/>
    <w:rsid w:val="00F15844"/>
    <w:rsid w:val="00F20AC8"/>
    <w:rsid w:val="00F21EE0"/>
    <w:rsid w:val="00F24A1E"/>
    <w:rsid w:val="00F342FC"/>
    <w:rsid w:val="00F344AC"/>
    <w:rsid w:val="00F3454B"/>
    <w:rsid w:val="00F40CB8"/>
    <w:rsid w:val="00F4355F"/>
    <w:rsid w:val="00F47445"/>
    <w:rsid w:val="00F522E3"/>
    <w:rsid w:val="00F558D9"/>
    <w:rsid w:val="00F6566D"/>
    <w:rsid w:val="00F66145"/>
    <w:rsid w:val="00F66176"/>
    <w:rsid w:val="00F67719"/>
    <w:rsid w:val="00F710D3"/>
    <w:rsid w:val="00F77608"/>
    <w:rsid w:val="00F80E6D"/>
    <w:rsid w:val="00F81980"/>
    <w:rsid w:val="00F83AB9"/>
    <w:rsid w:val="00F938A5"/>
    <w:rsid w:val="00FA2E5A"/>
    <w:rsid w:val="00FA3555"/>
    <w:rsid w:val="00FA7BD1"/>
    <w:rsid w:val="00FB163B"/>
    <w:rsid w:val="00FB40C5"/>
    <w:rsid w:val="00FC2939"/>
    <w:rsid w:val="00FD0A93"/>
    <w:rsid w:val="00FD2E2D"/>
    <w:rsid w:val="00FD56B2"/>
    <w:rsid w:val="00FD784E"/>
    <w:rsid w:val="00FD7BF4"/>
    <w:rsid w:val="00FE5E0D"/>
    <w:rsid w:val="00FF1E84"/>
    <w:rsid w:val="00FF2D1B"/>
    <w:rsid w:val="055ACF5A"/>
    <w:rsid w:val="07B8995A"/>
    <w:rsid w:val="08C26806"/>
    <w:rsid w:val="0A2B8A18"/>
    <w:rsid w:val="0A553DE9"/>
    <w:rsid w:val="0B2CAD16"/>
    <w:rsid w:val="0BE62A17"/>
    <w:rsid w:val="0C2D01E2"/>
    <w:rsid w:val="0D1F1212"/>
    <w:rsid w:val="11F95B8A"/>
    <w:rsid w:val="183DE4E7"/>
    <w:rsid w:val="18BEF519"/>
    <w:rsid w:val="1A65AC00"/>
    <w:rsid w:val="1E8CF1B7"/>
    <w:rsid w:val="21404A17"/>
    <w:rsid w:val="232C4709"/>
    <w:rsid w:val="23877927"/>
    <w:rsid w:val="29B2796D"/>
    <w:rsid w:val="2D2200D5"/>
    <w:rsid w:val="2D35C3CE"/>
    <w:rsid w:val="2E14015E"/>
    <w:rsid w:val="2EC9B28F"/>
    <w:rsid w:val="32C947B2"/>
    <w:rsid w:val="33F665A0"/>
    <w:rsid w:val="3513EA5D"/>
    <w:rsid w:val="3531A036"/>
    <w:rsid w:val="35AEEA73"/>
    <w:rsid w:val="3730CD5F"/>
    <w:rsid w:val="3B3D4879"/>
    <w:rsid w:val="3B85A6C0"/>
    <w:rsid w:val="3D550C95"/>
    <w:rsid w:val="45485EC5"/>
    <w:rsid w:val="45E9AA50"/>
    <w:rsid w:val="46225E96"/>
    <w:rsid w:val="49258F36"/>
    <w:rsid w:val="4E7F3797"/>
    <w:rsid w:val="4F2FA63F"/>
    <w:rsid w:val="524BBF04"/>
    <w:rsid w:val="53623779"/>
    <w:rsid w:val="553B9104"/>
    <w:rsid w:val="57BB2A64"/>
    <w:rsid w:val="62EA9F5E"/>
    <w:rsid w:val="64B92CBB"/>
    <w:rsid w:val="67D4AE38"/>
    <w:rsid w:val="68C0D38D"/>
    <w:rsid w:val="69707E99"/>
    <w:rsid w:val="6A15E85A"/>
    <w:rsid w:val="6B9A9F50"/>
    <w:rsid w:val="6C58C6D3"/>
    <w:rsid w:val="6E8F07BE"/>
    <w:rsid w:val="73BF49F0"/>
    <w:rsid w:val="73FE210B"/>
    <w:rsid w:val="76B5FF05"/>
    <w:rsid w:val="770AB25E"/>
    <w:rsid w:val="780C4E1C"/>
    <w:rsid w:val="7AC7DDE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129AB"/>
  <w15:chartTrackingRefBased/>
  <w15:docId w15:val="{EEB4EACA-1A20-4D81-B342-8077AF8D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157B7"/>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157B7"/>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157B7"/>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157B7"/>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157B7"/>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157B7"/>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157B7"/>
    <w:pPr>
      <w:keepNext/>
      <w:spacing w:after="200" w:line="240" w:lineRule="auto"/>
    </w:pPr>
    <w:rPr>
      <w:iCs/>
      <w:color w:val="002664"/>
      <w:sz w:val="18"/>
      <w:szCs w:val="18"/>
    </w:rPr>
  </w:style>
  <w:style w:type="table" w:customStyle="1" w:styleId="Tableheader">
    <w:name w:val="ŠTable header"/>
    <w:basedOn w:val="TableNormal"/>
    <w:uiPriority w:val="99"/>
    <w:rsid w:val="003157B7"/>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1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157B7"/>
    <w:pPr>
      <w:numPr>
        <w:numId w:val="69"/>
      </w:numPr>
    </w:pPr>
  </w:style>
  <w:style w:type="paragraph" w:styleId="ListNumber2">
    <w:name w:val="List Number 2"/>
    <w:aliases w:val="ŠList Number 2"/>
    <w:basedOn w:val="Normal"/>
    <w:uiPriority w:val="8"/>
    <w:qFormat/>
    <w:rsid w:val="003157B7"/>
    <w:pPr>
      <w:numPr>
        <w:numId w:val="68"/>
      </w:numPr>
    </w:pPr>
  </w:style>
  <w:style w:type="paragraph" w:styleId="ListBullet">
    <w:name w:val="List Bullet"/>
    <w:aliases w:val="ŠList Bullet"/>
    <w:basedOn w:val="Normal"/>
    <w:uiPriority w:val="9"/>
    <w:qFormat/>
    <w:rsid w:val="003157B7"/>
    <w:pPr>
      <w:numPr>
        <w:numId w:val="65"/>
      </w:numPr>
    </w:pPr>
  </w:style>
  <w:style w:type="paragraph" w:styleId="ListBullet2">
    <w:name w:val="List Bullet 2"/>
    <w:aliases w:val="ŠList Bullet 2"/>
    <w:basedOn w:val="Normal"/>
    <w:uiPriority w:val="10"/>
    <w:qFormat/>
    <w:rsid w:val="003157B7"/>
    <w:pPr>
      <w:numPr>
        <w:numId w:val="62"/>
      </w:numPr>
    </w:pPr>
  </w:style>
  <w:style w:type="character" w:styleId="SubtleReference">
    <w:name w:val="Subtle Reference"/>
    <w:aliases w:val="ŠSubtle Reference"/>
    <w:uiPriority w:val="31"/>
    <w:qFormat/>
    <w:rsid w:val="00B16DCF"/>
    <w:rPr>
      <w:rFonts w:ascii="Arial" w:hAnsi="Arial"/>
      <w:sz w:val="22"/>
    </w:rPr>
  </w:style>
  <w:style w:type="paragraph" w:styleId="Quote">
    <w:name w:val="Quote"/>
    <w:aliases w:val="ŠQuote"/>
    <w:basedOn w:val="Normal"/>
    <w:next w:val="Normal"/>
    <w:link w:val="QuoteChar"/>
    <w:uiPriority w:val="29"/>
    <w:qFormat/>
    <w:rsid w:val="00B16DCF"/>
    <w:pPr>
      <w:keepNext/>
      <w:spacing w:before="200" w:after="200" w:line="240" w:lineRule="atLeast"/>
      <w:ind w:left="567" w:right="567"/>
    </w:pPr>
  </w:style>
  <w:style w:type="paragraph" w:styleId="Date">
    <w:name w:val="Date"/>
    <w:aliases w:val="ŠDate"/>
    <w:basedOn w:val="Normal"/>
    <w:next w:val="Normal"/>
    <w:link w:val="DateChar"/>
    <w:uiPriority w:val="99"/>
    <w:rsid w:val="00B16DCF"/>
    <w:pPr>
      <w:spacing w:before="0" w:line="720" w:lineRule="atLeast"/>
    </w:pPr>
  </w:style>
  <w:style w:type="character" w:customStyle="1" w:styleId="DateChar">
    <w:name w:val="Date Char"/>
    <w:aliases w:val="ŠDate Char"/>
    <w:basedOn w:val="DefaultParagraphFont"/>
    <w:link w:val="Date"/>
    <w:uiPriority w:val="99"/>
    <w:rsid w:val="00B16DCF"/>
    <w:rPr>
      <w:rFonts w:ascii="Arial" w:hAnsi="Arial" w:cs="Arial"/>
      <w:sz w:val="24"/>
      <w:szCs w:val="24"/>
    </w:rPr>
  </w:style>
  <w:style w:type="paragraph" w:styleId="Signature">
    <w:name w:val="Signature"/>
    <w:aliases w:val="ŠSignature"/>
    <w:basedOn w:val="Normal"/>
    <w:link w:val="SignatureChar"/>
    <w:uiPriority w:val="99"/>
    <w:rsid w:val="00B16DCF"/>
    <w:pPr>
      <w:spacing w:before="0" w:line="720" w:lineRule="atLeast"/>
    </w:pPr>
  </w:style>
  <w:style w:type="character" w:customStyle="1" w:styleId="SignatureChar">
    <w:name w:val="Signature Char"/>
    <w:aliases w:val="ŠSignature Char"/>
    <w:basedOn w:val="DefaultParagraphFont"/>
    <w:link w:val="Signature"/>
    <w:uiPriority w:val="99"/>
    <w:rsid w:val="00B16DCF"/>
    <w:rPr>
      <w:rFonts w:ascii="Arial" w:hAnsi="Arial" w:cs="Arial"/>
      <w:sz w:val="24"/>
      <w:szCs w:val="24"/>
    </w:rPr>
  </w:style>
  <w:style w:type="character" w:styleId="Strong">
    <w:name w:val="Strong"/>
    <w:aliases w:val="ŠStrong,Bold"/>
    <w:qFormat/>
    <w:rsid w:val="003157B7"/>
    <w:rPr>
      <w:b/>
      <w:bCs/>
    </w:rPr>
  </w:style>
  <w:style w:type="character" w:customStyle="1" w:styleId="QuoteChar">
    <w:name w:val="Quote Char"/>
    <w:aliases w:val="ŠQuote Char"/>
    <w:basedOn w:val="DefaultParagraphFont"/>
    <w:link w:val="Quote"/>
    <w:uiPriority w:val="29"/>
    <w:rsid w:val="00B16DCF"/>
    <w:rPr>
      <w:rFonts w:ascii="Arial" w:hAnsi="Arial" w:cs="Arial"/>
      <w:sz w:val="24"/>
      <w:szCs w:val="24"/>
    </w:rPr>
  </w:style>
  <w:style w:type="paragraph" w:customStyle="1" w:styleId="FeatureBox2">
    <w:name w:val="ŠFeature Box 2"/>
    <w:basedOn w:val="Normal"/>
    <w:next w:val="Normal"/>
    <w:uiPriority w:val="12"/>
    <w:qFormat/>
    <w:rsid w:val="003157B7"/>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E24837"/>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3157B7"/>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157B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157B7"/>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157B7"/>
    <w:rPr>
      <w:color w:val="2F5496" w:themeColor="accent1" w:themeShade="BF"/>
      <w:u w:val="single"/>
    </w:rPr>
  </w:style>
  <w:style w:type="paragraph" w:customStyle="1" w:styleId="Logo">
    <w:name w:val="ŠLogo"/>
    <w:basedOn w:val="Normal"/>
    <w:uiPriority w:val="18"/>
    <w:qFormat/>
    <w:rsid w:val="003157B7"/>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157B7"/>
    <w:pPr>
      <w:tabs>
        <w:tab w:val="right" w:leader="dot" w:pos="14570"/>
      </w:tabs>
      <w:spacing w:before="0"/>
    </w:pPr>
    <w:rPr>
      <w:b/>
      <w:noProof/>
    </w:rPr>
  </w:style>
  <w:style w:type="paragraph" w:styleId="TOC2">
    <w:name w:val="toc 2"/>
    <w:aliases w:val="ŠTOC 2"/>
    <w:basedOn w:val="Normal"/>
    <w:next w:val="Normal"/>
    <w:uiPriority w:val="39"/>
    <w:unhideWhenUsed/>
    <w:rsid w:val="003157B7"/>
    <w:pPr>
      <w:tabs>
        <w:tab w:val="right" w:leader="dot" w:pos="14570"/>
      </w:tabs>
      <w:spacing w:before="0"/>
    </w:pPr>
    <w:rPr>
      <w:noProof/>
    </w:rPr>
  </w:style>
  <w:style w:type="paragraph" w:styleId="TOC3">
    <w:name w:val="toc 3"/>
    <w:aliases w:val="ŠTOC 3"/>
    <w:basedOn w:val="Normal"/>
    <w:next w:val="Normal"/>
    <w:uiPriority w:val="39"/>
    <w:unhideWhenUsed/>
    <w:rsid w:val="003157B7"/>
    <w:pPr>
      <w:spacing w:before="0"/>
      <w:ind w:left="244"/>
    </w:pPr>
  </w:style>
  <w:style w:type="paragraph" w:styleId="Title">
    <w:name w:val="Title"/>
    <w:aliases w:val="ŠTitle"/>
    <w:basedOn w:val="Normal"/>
    <w:next w:val="Normal"/>
    <w:link w:val="TitleChar"/>
    <w:uiPriority w:val="1"/>
    <w:rsid w:val="003157B7"/>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157B7"/>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157B7"/>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157B7"/>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157B7"/>
    <w:pPr>
      <w:spacing w:after="240"/>
      <w:outlineLvl w:val="9"/>
    </w:pPr>
    <w:rPr>
      <w:szCs w:val="40"/>
    </w:rPr>
  </w:style>
  <w:style w:type="paragraph" w:styleId="Footer">
    <w:name w:val="footer"/>
    <w:aliases w:val="ŠFooter"/>
    <w:basedOn w:val="Normal"/>
    <w:link w:val="FooterChar"/>
    <w:uiPriority w:val="19"/>
    <w:rsid w:val="003157B7"/>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157B7"/>
    <w:rPr>
      <w:rFonts w:ascii="Arial" w:hAnsi="Arial" w:cs="Arial"/>
      <w:sz w:val="18"/>
      <w:szCs w:val="18"/>
    </w:rPr>
  </w:style>
  <w:style w:type="paragraph" w:styleId="Header">
    <w:name w:val="header"/>
    <w:aliases w:val="ŠHeader"/>
    <w:basedOn w:val="Normal"/>
    <w:link w:val="HeaderChar"/>
    <w:uiPriority w:val="16"/>
    <w:rsid w:val="003157B7"/>
    <w:rPr>
      <w:noProof/>
      <w:color w:val="002664"/>
      <w:sz w:val="28"/>
      <w:szCs w:val="28"/>
    </w:rPr>
  </w:style>
  <w:style w:type="character" w:customStyle="1" w:styleId="HeaderChar">
    <w:name w:val="Header Char"/>
    <w:aliases w:val="ŠHeader Char"/>
    <w:basedOn w:val="DefaultParagraphFont"/>
    <w:link w:val="Header"/>
    <w:uiPriority w:val="16"/>
    <w:rsid w:val="003157B7"/>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157B7"/>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157B7"/>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157B7"/>
    <w:rPr>
      <w:rFonts w:ascii="Arial" w:hAnsi="Arial" w:cs="Arial"/>
      <w:b/>
      <w:szCs w:val="32"/>
    </w:rPr>
  </w:style>
  <w:style w:type="character" w:styleId="UnresolvedMention">
    <w:name w:val="Unresolved Mention"/>
    <w:basedOn w:val="DefaultParagraphFont"/>
    <w:uiPriority w:val="99"/>
    <w:semiHidden/>
    <w:unhideWhenUsed/>
    <w:rsid w:val="003157B7"/>
    <w:rPr>
      <w:color w:val="605E5C"/>
      <w:shd w:val="clear" w:color="auto" w:fill="E1DFDD"/>
    </w:rPr>
  </w:style>
  <w:style w:type="character" w:styleId="Emphasis">
    <w:name w:val="Emphasis"/>
    <w:aliases w:val="ŠEmphasis,Italic"/>
    <w:qFormat/>
    <w:rsid w:val="003157B7"/>
    <w:rPr>
      <w:i/>
      <w:iCs/>
    </w:rPr>
  </w:style>
  <w:style w:type="character" w:styleId="SubtleEmphasis">
    <w:name w:val="Subtle Emphasis"/>
    <w:basedOn w:val="DefaultParagraphFont"/>
    <w:uiPriority w:val="19"/>
    <w:semiHidden/>
    <w:qFormat/>
    <w:rsid w:val="003157B7"/>
    <w:rPr>
      <w:i/>
      <w:iCs/>
      <w:color w:val="404040" w:themeColor="text1" w:themeTint="BF"/>
    </w:rPr>
  </w:style>
  <w:style w:type="paragraph" w:styleId="TOC4">
    <w:name w:val="toc 4"/>
    <w:aliases w:val="ŠTOC 4"/>
    <w:basedOn w:val="Normal"/>
    <w:next w:val="Normal"/>
    <w:autoRedefine/>
    <w:uiPriority w:val="39"/>
    <w:unhideWhenUsed/>
    <w:rsid w:val="003157B7"/>
    <w:pPr>
      <w:spacing w:before="0"/>
      <w:ind w:left="488"/>
    </w:pPr>
  </w:style>
  <w:style w:type="character" w:styleId="CommentReference">
    <w:name w:val="annotation reference"/>
    <w:basedOn w:val="DefaultParagraphFont"/>
    <w:uiPriority w:val="99"/>
    <w:semiHidden/>
    <w:unhideWhenUsed/>
    <w:rsid w:val="003157B7"/>
    <w:rPr>
      <w:sz w:val="16"/>
      <w:szCs w:val="16"/>
    </w:rPr>
  </w:style>
  <w:style w:type="paragraph" w:styleId="CommentText">
    <w:name w:val="annotation text"/>
    <w:basedOn w:val="Normal"/>
    <w:link w:val="CommentTextChar"/>
    <w:uiPriority w:val="99"/>
    <w:unhideWhenUsed/>
    <w:rsid w:val="003157B7"/>
    <w:pPr>
      <w:spacing w:line="240" w:lineRule="auto"/>
    </w:pPr>
    <w:rPr>
      <w:sz w:val="20"/>
      <w:szCs w:val="20"/>
    </w:rPr>
  </w:style>
  <w:style w:type="character" w:customStyle="1" w:styleId="CommentTextChar">
    <w:name w:val="Comment Text Char"/>
    <w:basedOn w:val="DefaultParagraphFont"/>
    <w:link w:val="CommentText"/>
    <w:uiPriority w:val="99"/>
    <w:rsid w:val="003157B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157B7"/>
    <w:rPr>
      <w:b/>
      <w:bCs/>
    </w:rPr>
  </w:style>
  <w:style w:type="character" w:customStyle="1" w:styleId="CommentSubjectChar">
    <w:name w:val="Comment Subject Char"/>
    <w:basedOn w:val="CommentTextChar"/>
    <w:link w:val="CommentSubject"/>
    <w:uiPriority w:val="99"/>
    <w:semiHidden/>
    <w:rsid w:val="003157B7"/>
    <w:rPr>
      <w:rFonts w:ascii="Arial" w:hAnsi="Arial" w:cs="Arial"/>
      <w:b/>
      <w:bCs/>
      <w:sz w:val="20"/>
      <w:szCs w:val="20"/>
    </w:rPr>
  </w:style>
  <w:style w:type="paragraph" w:styleId="ListParagraph">
    <w:name w:val="List Paragraph"/>
    <w:aliases w:val="ŠList Paragraph"/>
    <w:basedOn w:val="Normal"/>
    <w:uiPriority w:val="34"/>
    <w:unhideWhenUsed/>
    <w:qFormat/>
    <w:rsid w:val="003157B7"/>
    <w:pPr>
      <w:ind w:left="567"/>
    </w:pPr>
  </w:style>
  <w:style w:type="paragraph" w:styleId="Revision">
    <w:name w:val="Revision"/>
    <w:hidden/>
    <w:uiPriority w:val="99"/>
    <w:semiHidden/>
    <w:rsid w:val="00A149EB"/>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C15C1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C1F"/>
    <w:rPr>
      <w:rFonts w:ascii="Segoe UI" w:hAnsi="Segoe UI" w:cs="Segoe UI"/>
      <w:sz w:val="18"/>
      <w:szCs w:val="18"/>
    </w:rPr>
  </w:style>
  <w:style w:type="character" w:styleId="FollowedHyperlink">
    <w:name w:val="FollowedHyperlink"/>
    <w:basedOn w:val="DefaultParagraphFont"/>
    <w:uiPriority w:val="99"/>
    <w:semiHidden/>
    <w:unhideWhenUsed/>
    <w:rsid w:val="00B16DCF"/>
    <w:rPr>
      <w:color w:val="954F72" w:themeColor="followedHyperlink"/>
      <w:u w:val="single"/>
    </w:rPr>
  </w:style>
  <w:style w:type="character" w:styleId="FootnoteReference">
    <w:name w:val="footnote reference"/>
    <w:basedOn w:val="DefaultParagraphFont"/>
    <w:uiPriority w:val="99"/>
    <w:semiHidden/>
    <w:unhideWhenUsed/>
    <w:rsid w:val="00B16DCF"/>
    <w:rPr>
      <w:vertAlign w:val="superscript"/>
    </w:rPr>
  </w:style>
  <w:style w:type="paragraph" w:styleId="FootnoteText">
    <w:name w:val="footnote text"/>
    <w:basedOn w:val="Normal"/>
    <w:link w:val="FootnoteTextChar"/>
    <w:uiPriority w:val="99"/>
    <w:semiHidden/>
    <w:unhideWhenUsed/>
    <w:rsid w:val="00B16DC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16DCF"/>
    <w:rPr>
      <w:rFonts w:ascii="Arial" w:hAnsi="Arial" w:cs="Arial"/>
      <w:sz w:val="20"/>
      <w:szCs w:val="20"/>
    </w:rPr>
  </w:style>
  <w:style w:type="paragraph" w:customStyle="1" w:styleId="Documentname">
    <w:name w:val="ŠDocument name"/>
    <w:basedOn w:val="Normal"/>
    <w:next w:val="Normal"/>
    <w:uiPriority w:val="17"/>
    <w:qFormat/>
    <w:rsid w:val="003157B7"/>
    <w:pPr>
      <w:pBdr>
        <w:bottom w:val="single" w:sz="8" w:space="10" w:color="D0CECE" w:themeColor="background2" w:themeShade="E6"/>
      </w:pBdr>
      <w:spacing w:before="0" w:after="240" w:line="276" w:lineRule="auto"/>
      <w:jc w:val="right"/>
    </w:pPr>
    <w:rPr>
      <w:bCs/>
      <w:sz w:val="18"/>
      <w:szCs w:val="18"/>
    </w:rPr>
  </w:style>
  <w:style w:type="paragraph" w:customStyle="1" w:styleId="Featurebox2Bullets">
    <w:name w:val="ŠFeature box 2: Bullets"/>
    <w:basedOn w:val="ListBullet"/>
    <w:link w:val="Featurebox2BulletsChar"/>
    <w:uiPriority w:val="14"/>
    <w:qFormat/>
    <w:rsid w:val="00B16DCF"/>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B16DCF"/>
    <w:rPr>
      <w:rFonts w:ascii="Arial" w:hAnsi="Arial" w:cs="Arial"/>
      <w:sz w:val="24"/>
      <w:szCs w:val="24"/>
      <w:shd w:val="clear" w:color="auto" w:fill="CCEDFC"/>
    </w:rPr>
  </w:style>
  <w:style w:type="paragraph" w:customStyle="1" w:styleId="FeatureBoxPink">
    <w:name w:val="ŠFeature Box Pink"/>
    <w:basedOn w:val="Normal"/>
    <w:next w:val="Normal"/>
    <w:uiPriority w:val="13"/>
    <w:qFormat/>
    <w:rsid w:val="00B16DCF"/>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Imageattributioncaption">
    <w:name w:val="ŠImage attribution caption"/>
    <w:basedOn w:val="Normal"/>
    <w:next w:val="Normal"/>
    <w:link w:val="ImageattributioncaptionChar"/>
    <w:uiPriority w:val="15"/>
    <w:qFormat/>
    <w:rsid w:val="003157B7"/>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B16DCF"/>
    <w:rPr>
      <w:rFonts w:ascii="Arial" w:hAnsi="Arial" w:cs="Arial"/>
      <w:sz w:val="18"/>
      <w:szCs w:val="18"/>
    </w:rPr>
  </w:style>
  <w:style w:type="paragraph" w:styleId="TableofFigures">
    <w:name w:val="table of figures"/>
    <w:basedOn w:val="Normal"/>
    <w:next w:val="Normal"/>
    <w:uiPriority w:val="99"/>
    <w:unhideWhenUsed/>
    <w:rsid w:val="00B16DCF"/>
  </w:style>
  <w:style w:type="character" w:styleId="Mention">
    <w:name w:val="Mention"/>
    <w:basedOn w:val="DefaultParagraphFont"/>
    <w:uiPriority w:val="99"/>
    <w:unhideWhenUsed/>
    <w:rsid w:val="007C58F1"/>
    <w:rPr>
      <w:color w:val="2B579A"/>
      <w:shd w:val="clear" w:color="auto" w:fill="E1DFDD"/>
    </w:rPr>
  </w:style>
  <w:style w:type="paragraph" w:styleId="Bibliography">
    <w:name w:val="Bibliography"/>
    <w:basedOn w:val="Normal"/>
    <w:next w:val="Normal"/>
    <w:uiPriority w:val="37"/>
    <w:unhideWhenUsed/>
    <w:rsid w:val="00FD2E2D"/>
    <w:pPr>
      <w:spacing w:before="0" w:after="160" w:line="259" w:lineRule="auto"/>
    </w:pPr>
    <w:rPr>
      <w:rFonts w:asciiTheme="minorHAnsi" w:hAnsiTheme="minorHAnsi" w:cstheme="minorBidi"/>
      <w:kern w:val="2"/>
      <w:szCs w:val="22"/>
      <w14:ligatures w14:val="standardContextual"/>
    </w:rPr>
  </w:style>
  <w:style w:type="paragraph" w:styleId="ListBullet3">
    <w:name w:val="List Bullet 3"/>
    <w:aliases w:val="ŠList Bullet 3"/>
    <w:basedOn w:val="Normal"/>
    <w:uiPriority w:val="10"/>
    <w:rsid w:val="003157B7"/>
    <w:pPr>
      <w:numPr>
        <w:numId w:val="64"/>
      </w:numPr>
    </w:pPr>
  </w:style>
  <w:style w:type="paragraph" w:styleId="ListNumber3">
    <w:name w:val="List Number 3"/>
    <w:aliases w:val="ŠList Number 3"/>
    <w:basedOn w:val="ListBullet3"/>
    <w:uiPriority w:val="8"/>
    <w:rsid w:val="003157B7"/>
    <w:pPr>
      <w:numPr>
        <w:ilvl w:val="2"/>
        <w:numId w:val="68"/>
      </w:numPr>
    </w:pPr>
  </w:style>
  <w:style w:type="character" w:styleId="PlaceholderText">
    <w:name w:val="Placeholder Text"/>
    <w:basedOn w:val="DefaultParagraphFont"/>
    <w:uiPriority w:val="99"/>
    <w:semiHidden/>
    <w:rsid w:val="003157B7"/>
    <w:rPr>
      <w:color w:val="808080"/>
    </w:rPr>
  </w:style>
  <w:style w:type="character" w:customStyle="1" w:styleId="BoldItalic">
    <w:name w:val="ŠBold Italic"/>
    <w:basedOn w:val="DefaultParagraphFont"/>
    <w:uiPriority w:val="1"/>
    <w:qFormat/>
    <w:rsid w:val="003157B7"/>
    <w:rPr>
      <w:b/>
      <w:i/>
      <w:iCs/>
    </w:rPr>
  </w:style>
  <w:style w:type="paragraph" w:customStyle="1" w:styleId="FeatureBox3">
    <w:name w:val="ŠFeature Box 3"/>
    <w:basedOn w:val="Normal"/>
    <w:next w:val="Normal"/>
    <w:uiPriority w:val="13"/>
    <w:qFormat/>
    <w:rsid w:val="003157B7"/>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157B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3157B7"/>
    <w:pPr>
      <w:keepNext/>
      <w:ind w:left="567" w:right="57"/>
    </w:pPr>
    <w:rPr>
      <w:szCs w:val="22"/>
    </w:rPr>
  </w:style>
  <w:style w:type="paragraph" w:customStyle="1" w:styleId="Subtitle0">
    <w:name w:val="ŠSubtitle"/>
    <w:basedOn w:val="Normal"/>
    <w:link w:val="SubtitleChar0"/>
    <w:uiPriority w:val="2"/>
    <w:qFormat/>
    <w:rsid w:val="003157B7"/>
    <w:pPr>
      <w:spacing w:before="360"/>
    </w:pPr>
    <w:rPr>
      <w:color w:val="002664"/>
      <w:sz w:val="44"/>
      <w:szCs w:val="48"/>
    </w:rPr>
  </w:style>
  <w:style w:type="character" w:customStyle="1" w:styleId="SubtitleChar0">
    <w:name w:val="ŠSubtitle Char"/>
    <w:basedOn w:val="DefaultParagraphFont"/>
    <w:link w:val="Subtitle0"/>
    <w:uiPriority w:val="2"/>
    <w:rsid w:val="003157B7"/>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62?clearCache=93522c1d-6e7a-1ab9-7975-517262331e0c" TargetMode="External"/><Relationship Id="rId21" Type="http://schemas.openxmlformats.org/officeDocument/2006/relationships/hyperlink" Target="https://www.horsesafetyaustralia.com.au/wp-content/uploads/2008/10/AHIC-Code-of-Practice-revised-091009-.pdf" TargetMode="External"/><Relationship Id="rId34" Type="http://schemas.openxmlformats.org/officeDocument/2006/relationships/hyperlink" Target="https://education.nsw.gov.au/policy-library/policies/pd-2016-0468" TargetMode="External"/><Relationship Id="rId42" Type="http://schemas.openxmlformats.org/officeDocument/2006/relationships/hyperlink" Target="https://education.nsw.gov.au/about-us/educational-data/cese/publications/research-reports/what-works-best-2020-update" TargetMode="External"/><Relationship Id="rId47" Type="http://schemas.openxmlformats.org/officeDocument/2006/relationships/hyperlink" Target="https://www.rda.org.au/" TargetMode="External"/><Relationship Id="rId50" Type="http://schemas.openxmlformats.org/officeDocument/2006/relationships/hyperlink" Target="https://app.education.nsw.gov.au/digital-learning-selector/LearningActivity/Card/599?clearCache=3a564bc9-428d-f8fb-998c-bb688560f336" TargetMode="External"/><Relationship Id="rId55" Type="http://schemas.openxmlformats.org/officeDocument/2006/relationships/footer" Target="footer2.xml"/><Relationship Id="rId63" Type="http://schemas.openxmlformats.org/officeDocument/2006/relationships/footer" Target="footer5.xml"/><Relationship Id="rId7" Type="http://schemas.openxmlformats.org/officeDocument/2006/relationships/hyperlink" Target="https://education.nsw.gov.au/teaching-and-learning/curriculum/department-approved-courses/animal-studies" TargetMode="External"/><Relationship Id="rId2" Type="http://schemas.openxmlformats.org/officeDocument/2006/relationships/styles" Target="styles.xml"/><Relationship Id="rId16" Type="http://schemas.openxmlformats.org/officeDocument/2006/relationships/hyperlink" Target="https://breeds.okstate.edu/horses/?Forwarded=afs.okstate.edu/breeds/horses/" TargetMode="External"/><Relationship Id="rId29" Type="http://schemas.openxmlformats.org/officeDocument/2006/relationships/hyperlink" Target="https://education.nsw.gov.au/teaching-and-learning/curriculum/planning-programming-and-assessing-k-12/planning-programming-and-assessing-7-12" TargetMode="External"/><Relationship Id="rId11" Type="http://schemas.openxmlformats.org/officeDocument/2006/relationships/hyperlink" Target="https://app.education.nsw.gov.au/digital-learning-selector/LearningActivity/Card/542" TargetMode="External"/><Relationship Id="rId24" Type="http://schemas.openxmlformats.org/officeDocument/2006/relationships/hyperlink" Target="https://app.education.nsw.gov.au/digital-learning-selector/LearningActivity/Card/546?clearCache=b687ccff-ae57-8ce-80b1-1fabd27c7ba9" TargetMode="External"/><Relationship Id="rId32" Type="http://schemas.openxmlformats.org/officeDocument/2006/relationships/hyperlink" Target="https://education.nsw.gov.au/teaching-and-learning/curriculum/planning-programming-and-assessing-k-12/planning-programming-and-assessing-7-12/classroom-assessment-advice-7-10-" TargetMode="External"/><Relationship Id="rId37" Type="http://schemas.openxmlformats.org/officeDocument/2006/relationships/hyperlink" Target="https://educationstandards.nsw.edu.au/wps/portal/nesa/teacher-accreditation/meeting-requirements/the-standards/proficient-teacher" TargetMode="External"/><Relationship Id="rId40" Type="http://schemas.openxmlformats.org/officeDocument/2006/relationships/hyperlink" Target="https://www.horsesafetyaustralia.com.au/wp-content/uploads/2008/10/AHIC-Code-of-Practice-revised-091009-.pdf" TargetMode="External"/><Relationship Id="rId45" Type="http://schemas.openxmlformats.org/officeDocument/2006/relationships/hyperlink" Target="https://www.nsw.gov.au/sites/default/files/2023-04/NSW-Curriculum-Review-Final-Report.pdf" TargetMode="External"/><Relationship Id="rId53" Type="http://schemas.openxmlformats.org/officeDocument/2006/relationships/header" Target="header1.xml"/><Relationship Id="rId58" Type="http://schemas.openxmlformats.org/officeDocument/2006/relationships/hyperlink" Target="https://creativecommons.org/licenses/by/4.0/" TargetMode="External"/><Relationship Id="rId5" Type="http://schemas.openxmlformats.org/officeDocument/2006/relationships/footnotes" Target="footnotes.xml"/><Relationship Id="rId61" Type="http://schemas.openxmlformats.org/officeDocument/2006/relationships/footer" Target="footer4.xml"/><Relationship Id="rId19" Type="http://schemas.openxmlformats.org/officeDocument/2006/relationships/hyperlink" Target="https://app.education.nsw.gov.au/digital-learning-selector/LearningActivity/Card/562?clearCache=93522c1d-6e7a-1ab9-7975-517262331e0c" TargetMode="External"/><Relationship Id="rId14" Type="http://schemas.openxmlformats.org/officeDocument/2006/relationships/hyperlink" Target="https://www.rda.org.au/" TargetMode="External"/><Relationship Id="rId22" Type="http://schemas.openxmlformats.org/officeDocument/2006/relationships/hyperlink" Target="https://peo.gov.au/understand-our-parliament/your-questions-on-notice/questions/what-is-the-difference-between-policy-act-and-legislation-in-australia" TargetMode="External"/><Relationship Id="rId27" Type="http://schemas.openxmlformats.org/officeDocument/2006/relationships/hyperlink" Target="https://app.education.nsw.gov.au/digital-learning-selector/LearningActivity/Card/562?clearCache=93522c1d-6e7a-1ab9-7975-517262331e0c" TargetMode="External"/><Relationship Id="rId30" Type="http://schemas.openxmlformats.org/officeDocument/2006/relationships/hyperlink" Target="https://education.nsw.gov.au/teaching-and-learning/curriculum/planning-programming-and-assessing-k-12/planning-programming-and-assessing-7-12/inclusion-and-differentiation-advice-7-10" TargetMode="External"/><Relationship Id="rId35" Type="http://schemas.openxmlformats.org/officeDocument/2006/relationships/hyperlink" Target="https://education.nsw.gov.au/public-schools/school-success-model/school-success-model-explained" TargetMode="External"/><Relationship Id="rId43" Type="http://schemas.openxmlformats.org/officeDocument/2006/relationships/hyperlink" Target="https://education.nsw.gov.au/about-us/educational-data/cese/publications/practical-guides-for-educators-/what-works-best-in-practice" TargetMode="External"/><Relationship Id="rId48" Type="http://schemas.openxmlformats.org/officeDocument/2006/relationships/hyperlink" Target="https://app.education.nsw.gov.au/digital-learning-selector/LearningActivity/Card/562?clearCache=93522c1d-6e7a-1ab9-7975-517262331e0c" TargetMode="External"/><Relationship Id="rId56" Type="http://schemas.openxmlformats.org/officeDocument/2006/relationships/header" Target="header2.xml"/><Relationship Id="rId64" Type="http://schemas.openxmlformats.org/officeDocument/2006/relationships/fontTable" Target="fontTable.xml"/><Relationship Id="rId8" Type="http://schemas.openxmlformats.org/officeDocument/2006/relationships/hyperlink" Target="https://education.nsw.gov.au/teaching-and-learning/curriculum/department-approved-courses/animal-studies" TargetMode="External"/><Relationship Id="rId51" Type="http://schemas.openxmlformats.org/officeDocument/2006/relationships/hyperlink" Target="https://app.education.nsw.gov.au/digital-learning-selector/LearningActivity/Card/546?clearCache=b687ccff-ae57-8ce-80b1-1fabd27c7ba9" TargetMode="External"/><Relationship Id="rId3" Type="http://schemas.openxmlformats.org/officeDocument/2006/relationships/settings" Target="settings.xml"/><Relationship Id="rId12" Type="http://schemas.openxmlformats.org/officeDocument/2006/relationships/hyperlink" Target="https://app.education.nsw.gov.au/digital-learning-selector/LearningActivity/Card/542?clearCache=62982e3e-1aac-7227-14af-da322316f223" TargetMode="External"/><Relationship Id="rId17" Type="http://schemas.openxmlformats.org/officeDocument/2006/relationships/hyperlink" Target="https://www.britannica.com/animal/horse/Evolution-of-the-horse" TargetMode="External"/><Relationship Id="rId25" Type="http://schemas.openxmlformats.org/officeDocument/2006/relationships/hyperlink" Target="https://app.education.nsw.gov.au/digital-learning-selector/LearningActivity/Card/546?clearCache=b687ccff-ae57-8ce-80b1-1fabd27c7ba9" TargetMode="External"/><Relationship Id="rId33" Type="http://schemas.openxmlformats.org/officeDocument/2006/relationships/hyperlink" Target="https://education.nsw.gov.au/teaching-and-learning/curriculum/planning-programming-and-assessing-k-12/planning-programming-and-assessing-7-12/assessment-task-advice-7-10" TargetMode="External"/><Relationship Id="rId38" Type="http://schemas.openxmlformats.org/officeDocument/2006/relationships/hyperlink" Target="https://education.nsw.gov.au/teaching-and-learning/curriculum/department-approved-courses/animal-studies" TargetMode="External"/><Relationship Id="rId46" Type="http://schemas.openxmlformats.org/officeDocument/2006/relationships/hyperlink" Target="https://breeds.okstate.edu/horses/?Forwarded=afs.okstate.edu/breeds/horses/" TargetMode="External"/><Relationship Id="rId59" Type="http://schemas.openxmlformats.org/officeDocument/2006/relationships/image" Target="media/image1.png"/><Relationship Id="rId20" Type="http://schemas.openxmlformats.org/officeDocument/2006/relationships/hyperlink" Target="https://app.education.nsw.gov.au/digital-learning-selector/LearningActivity/Card/562?clearCache=93522c1d-6e7a-1ab9-7975-517262331e0c" TargetMode="External"/><Relationship Id="rId41" Type="http://schemas.openxmlformats.org/officeDocument/2006/relationships/hyperlink" Target="https://www.britannica.com/animal/horse/Evolution-of-the-horse" TargetMode="External"/><Relationship Id="rId54" Type="http://schemas.openxmlformats.org/officeDocument/2006/relationships/footer" Target="footer1.xml"/><Relationship Id="rId62"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animals-in-schools/animals-in-schools-species/horses/horses-introduction" TargetMode="External"/><Relationship Id="rId23" Type="http://schemas.openxmlformats.org/officeDocument/2006/relationships/hyperlink" Target="https://app.education.nsw.gov.au/digital-learning-selector/LearningActivity/Card/562?clearCache=93522c1d-6e7a-1ab9-7975-517262331e0c" TargetMode="External"/><Relationship Id="rId28" Type="http://schemas.openxmlformats.org/officeDocument/2006/relationships/hyperlink" Target="mailto:secondaryteachingandlearning@det.nsw.edu.au" TargetMode="External"/><Relationship Id="rId36" Type="http://schemas.openxmlformats.org/officeDocument/2006/relationships/hyperlink" Target="https://education.nsw.gov.au/policy-library/policies/pd-2016-0468" TargetMode="External"/><Relationship Id="rId49" Type="http://schemas.openxmlformats.org/officeDocument/2006/relationships/hyperlink" Target="https://app.education.nsw.gov.au/digital-learning-selector/LearningActivity/Card/542" TargetMode="External"/><Relationship Id="rId57" Type="http://schemas.openxmlformats.org/officeDocument/2006/relationships/footer" Target="footer3.xml"/><Relationship Id="rId10" Type="http://schemas.openxmlformats.org/officeDocument/2006/relationships/hyperlink" Target="https://www.rda.org.au/" TargetMode="External"/><Relationship Id="rId31" Type="http://schemas.openxmlformats.org/officeDocument/2006/relationships/hyperlink" Target="https://education.nsw.gov.au/teaching-and-learning/curriculum/planning-programming-and-assessing-k-12/planning-programming-and-assessing-7-12" TargetMode="External"/><Relationship Id="rId44" Type="http://schemas.openxmlformats.org/officeDocument/2006/relationships/hyperlink" Target="https://peo.gov.au/understand-our-parliament/your-questions-on-notice/questions/what-is-the-difference-between-policy-act-and-legislation-in-australia" TargetMode="External"/><Relationship Id="rId52" Type="http://schemas.openxmlformats.org/officeDocument/2006/relationships/hyperlink" Target="https://education.nsw.gov.au/teaching-and-learning/animals-in-schools/animals-in-schools-species/horses/horses-introduction" TargetMode="External"/><Relationship Id="rId60" Type="http://schemas.openxmlformats.org/officeDocument/2006/relationships/header" Target="header3.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nsw.gov.au/teaching-and-learning/animals-in-schools" TargetMode="External"/><Relationship Id="rId13" Type="http://schemas.openxmlformats.org/officeDocument/2006/relationships/hyperlink" Target="https://app.education.nsw.gov.au/digital-learning-selector/LearningActivity/Card/599?clearCache=3a564bc9-428d-f8fb-998c-bb688560f336" TargetMode="External"/><Relationship Id="rId18" Type="http://schemas.openxmlformats.org/officeDocument/2006/relationships/hyperlink" Target="https://www.britannica.com/animal/horse/Evolution-of-the-horse" TargetMode="External"/><Relationship Id="rId39" Type="http://schemas.openxmlformats.org/officeDocument/2006/relationships/hyperlink" Target="https://www.aitsl.edu.au/teach/improve-practice/feedbac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4002</Words>
  <Characters>22817</Characters>
  <Application>Microsoft Office Word</Application>
  <DocSecurity>0</DocSecurity>
  <Lines>190</Lines>
  <Paragraphs>53</Paragraphs>
  <ScaleCrop>false</ScaleCrop>
  <Company/>
  <LinksUpToDate>false</LinksUpToDate>
  <CharactersWithSpaces>26766</CharactersWithSpaces>
  <SharedDoc>false</SharedDoc>
  <HLinks>
    <vt:vector size="300" baseType="variant">
      <vt:variant>
        <vt:i4>5308424</vt:i4>
      </vt:variant>
      <vt:variant>
        <vt:i4>198</vt:i4>
      </vt:variant>
      <vt:variant>
        <vt:i4>0</vt:i4>
      </vt:variant>
      <vt:variant>
        <vt:i4>5</vt:i4>
      </vt:variant>
      <vt:variant>
        <vt:lpwstr>https://creativecommons.org/licenses/by/4.0/</vt:lpwstr>
      </vt:variant>
      <vt:variant>
        <vt:lpwstr/>
      </vt:variant>
      <vt:variant>
        <vt:i4>983056</vt:i4>
      </vt:variant>
      <vt:variant>
        <vt:i4>195</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192</vt:i4>
      </vt:variant>
      <vt:variant>
        <vt:i4>0</vt:i4>
      </vt:variant>
      <vt:variant>
        <vt:i4>5</vt:i4>
      </vt:variant>
      <vt:variant>
        <vt:lpwstr>https://education.nsw.gov.au/about-us/educational-data/cese/publications/research-reports/what-works-best-2020-update</vt:lpwstr>
      </vt:variant>
      <vt:variant>
        <vt:lpwstr/>
      </vt:variant>
      <vt:variant>
        <vt:i4>3276906</vt:i4>
      </vt:variant>
      <vt:variant>
        <vt:i4>189</vt:i4>
      </vt:variant>
      <vt:variant>
        <vt:i4>0</vt:i4>
      </vt:variant>
      <vt:variant>
        <vt:i4>5</vt:i4>
      </vt:variant>
      <vt:variant>
        <vt:lpwstr>https://nswcurriculumreform.nesa.nsw.edu.au/pdfs/phase-3/final-report/NSW_Curriculum_Review_Final_Report.pdf</vt:lpwstr>
      </vt:variant>
      <vt:variant>
        <vt:lpwstr/>
      </vt:variant>
      <vt:variant>
        <vt:i4>2752614</vt:i4>
      </vt:variant>
      <vt:variant>
        <vt:i4>186</vt:i4>
      </vt:variant>
      <vt:variant>
        <vt:i4>0</vt:i4>
      </vt:variant>
      <vt:variant>
        <vt:i4>5</vt:i4>
      </vt:variant>
      <vt:variant>
        <vt:lpwstr>https://www.aitsl.edu.au/teach/improve-practice/feedback</vt:lpwstr>
      </vt:variant>
      <vt:variant>
        <vt:lpwstr>:~:text=FEEDBACK-,Factsheet,-A%20quick%20guide</vt:lpwstr>
      </vt:variant>
      <vt:variant>
        <vt:i4>4522007</vt:i4>
      </vt:variant>
      <vt:variant>
        <vt:i4>183</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180</vt:i4>
      </vt:variant>
      <vt:variant>
        <vt:i4>0</vt:i4>
      </vt:variant>
      <vt:variant>
        <vt:i4>5</vt:i4>
      </vt:variant>
      <vt:variant>
        <vt:lpwstr>https://education.nsw.gov.au/policy-library/policies/pd-2016-0468</vt:lpwstr>
      </vt:variant>
      <vt:variant>
        <vt:lpwstr/>
      </vt:variant>
      <vt:variant>
        <vt:i4>8257568</vt:i4>
      </vt:variant>
      <vt:variant>
        <vt:i4>177</vt:i4>
      </vt:variant>
      <vt:variant>
        <vt:i4>0</vt:i4>
      </vt:variant>
      <vt:variant>
        <vt:i4>5</vt:i4>
      </vt:variant>
      <vt:variant>
        <vt:lpwstr>https://education.nsw.gov.au/public-schools/school-success-model/school-success-model-explained</vt:lpwstr>
      </vt:variant>
      <vt:variant>
        <vt:lpwstr/>
      </vt:variant>
      <vt:variant>
        <vt:i4>2031698</vt:i4>
      </vt:variant>
      <vt:variant>
        <vt:i4>174</vt:i4>
      </vt:variant>
      <vt:variant>
        <vt:i4>0</vt:i4>
      </vt:variant>
      <vt:variant>
        <vt:i4>5</vt:i4>
      </vt:variant>
      <vt:variant>
        <vt:lpwstr>https://education.nsw.gov.au/policy-library/policies/pd-2016-0468</vt:lpwstr>
      </vt:variant>
      <vt:variant>
        <vt:lpwstr/>
      </vt:variant>
      <vt:variant>
        <vt:i4>1376267</vt:i4>
      </vt:variant>
      <vt:variant>
        <vt:i4>171</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168</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165</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162</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159</vt:i4>
      </vt:variant>
      <vt:variant>
        <vt:i4>0</vt:i4>
      </vt:variant>
      <vt:variant>
        <vt:i4>5</vt:i4>
      </vt:variant>
      <vt:variant>
        <vt:lpwstr>https://education.nsw.gov.au/teaching-and-learning/curriculum/planning-programming-and-assessing-k-12/planning-programming-and-assessing-7-12</vt:lpwstr>
      </vt:variant>
      <vt:variant>
        <vt:lpwstr/>
      </vt:variant>
      <vt:variant>
        <vt:i4>393249</vt:i4>
      </vt:variant>
      <vt:variant>
        <vt:i4>156</vt:i4>
      </vt:variant>
      <vt:variant>
        <vt:i4>0</vt:i4>
      </vt:variant>
      <vt:variant>
        <vt:i4>5</vt:i4>
      </vt:variant>
      <vt:variant>
        <vt:lpwstr>mailto:secondaryteachingandlearning@det.nsw.edu.au</vt:lpwstr>
      </vt:variant>
      <vt:variant>
        <vt:lpwstr/>
      </vt:variant>
      <vt:variant>
        <vt:i4>327686</vt:i4>
      </vt:variant>
      <vt:variant>
        <vt:i4>153</vt:i4>
      </vt:variant>
      <vt:variant>
        <vt:i4>0</vt:i4>
      </vt:variant>
      <vt:variant>
        <vt:i4>5</vt:i4>
      </vt:variant>
      <vt:variant>
        <vt:lpwstr>https://app.education.nsw.gov.au/digital-learning-selector/LearningActivity/Card/562?clearCache=93522c1d-6e7a-1ab9-7975-517262331e0c</vt:lpwstr>
      </vt:variant>
      <vt:variant>
        <vt:lpwstr/>
      </vt:variant>
      <vt:variant>
        <vt:i4>327686</vt:i4>
      </vt:variant>
      <vt:variant>
        <vt:i4>150</vt:i4>
      </vt:variant>
      <vt:variant>
        <vt:i4>0</vt:i4>
      </vt:variant>
      <vt:variant>
        <vt:i4>5</vt:i4>
      </vt:variant>
      <vt:variant>
        <vt:lpwstr>https://app.education.nsw.gov.au/digital-learning-selector/LearningActivity/Card/562?clearCache=93522c1d-6e7a-1ab9-7975-517262331e0c</vt:lpwstr>
      </vt:variant>
      <vt:variant>
        <vt:lpwstr/>
      </vt:variant>
      <vt:variant>
        <vt:i4>3997803</vt:i4>
      </vt:variant>
      <vt:variant>
        <vt:i4>147</vt:i4>
      </vt:variant>
      <vt:variant>
        <vt:i4>0</vt:i4>
      </vt:variant>
      <vt:variant>
        <vt:i4>5</vt:i4>
      </vt:variant>
      <vt:variant>
        <vt:lpwstr>https://app.education.nsw.gov.au/digital-learning-selector/LearningActivity/Card/546?clearCache=b687ccff-ae57-8ce-80b1-1fabd27c7ba9</vt:lpwstr>
      </vt:variant>
      <vt:variant>
        <vt:lpwstr/>
      </vt:variant>
      <vt:variant>
        <vt:i4>3997803</vt:i4>
      </vt:variant>
      <vt:variant>
        <vt:i4>144</vt:i4>
      </vt:variant>
      <vt:variant>
        <vt:i4>0</vt:i4>
      </vt:variant>
      <vt:variant>
        <vt:i4>5</vt:i4>
      </vt:variant>
      <vt:variant>
        <vt:lpwstr>https://app.education.nsw.gov.au/digital-learning-selector/LearningActivity/Card/546?clearCache=b687ccff-ae57-8ce-80b1-1fabd27c7ba9</vt:lpwstr>
      </vt:variant>
      <vt:variant>
        <vt:lpwstr/>
      </vt:variant>
      <vt:variant>
        <vt:i4>327686</vt:i4>
      </vt:variant>
      <vt:variant>
        <vt:i4>141</vt:i4>
      </vt:variant>
      <vt:variant>
        <vt:i4>0</vt:i4>
      </vt:variant>
      <vt:variant>
        <vt:i4>5</vt:i4>
      </vt:variant>
      <vt:variant>
        <vt:lpwstr>https://app.education.nsw.gov.au/digital-learning-selector/LearningActivity/Card/562?clearCache=93522c1d-6e7a-1ab9-7975-517262331e0c</vt:lpwstr>
      </vt:variant>
      <vt:variant>
        <vt:lpwstr/>
      </vt:variant>
      <vt:variant>
        <vt:i4>7864424</vt:i4>
      </vt:variant>
      <vt:variant>
        <vt:i4>138</vt:i4>
      </vt:variant>
      <vt:variant>
        <vt:i4>0</vt:i4>
      </vt:variant>
      <vt:variant>
        <vt:i4>5</vt:i4>
      </vt:variant>
      <vt:variant>
        <vt:lpwstr>https://peo.gov.au/understand-our-parliament/your-questions-on-notice/questions/what-is-the-difference-between-policy-act-and-legislation-in-australia</vt:lpwstr>
      </vt:variant>
      <vt:variant>
        <vt:lpwstr/>
      </vt:variant>
      <vt:variant>
        <vt:i4>720961</vt:i4>
      </vt:variant>
      <vt:variant>
        <vt:i4>135</vt:i4>
      </vt:variant>
      <vt:variant>
        <vt:i4>0</vt:i4>
      </vt:variant>
      <vt:variant>
        <vt:i4>5</vt:i4>
      </vt:variant>
      <vt:variant>
        <vt:lpwstr>https://www.horsesafetyaustralia.com.au/wp-content/uploads/2008/10/AHIC-Code-of-Practice-revised-091009-.pdf</vt:lpwstr>
      </vt:variant>
      <vt:variant>
        <vt:lpwstr/>
      </vt:variant>
      <vt:variant>
        <vt:i4>327686</vt:i4>
      </vt:variant>
      <vt:variant>
        <vt:i4>132</vt:i4>
      </vt:variant>
      <vt:variant>
        <vt:i4>0</vt:i4>
      </vt:variant>
      <vt:variant>
        <vt:i4>5</vt:i4>
      </vt:variant>
      <vt:variant>
        <vt:lpwstr>https://app.education.nsw.gov.au/digital-learning-selector/LearningActivity/Card/562?clearCache=93522c1d-6e7a-1ab9-7975-517262331e0c</vt:lpwstr>
      </vt:variant>
      <vt:variant>
        <vt:lpwstr/>
      </vt:variant>
      <vt:variant>
        <vt:i4>327686</vt:i4>
      </vt:variant>
      <vt:variant>
        <vt:i4>129</vt:i4>
      </vt:variant>
      <vt:variant>
        <vt:i4>0</vt:i4>
      </vt:variant>
      <vt:variant>
        <vt:i4>5</vt:i4>
      </vt:variant>
      <vt:variant>
        <vt:lpwstr>https://app.education.nsw.gov.au/digital-learning-selector/LearningActivity/Card/562?clearCache=93522c1d-6e7a-1ab9-7975-517262331e0c</vt:lpwstr>
      </vt:variant>
      <vt:variant>
        <vt:lpwstr/>
      </vt:variant>
      <vt:variant>
        <vt:i4>7798842</vt:i4>
      </vt:variant>
      <vt:variant>
        <vt:i4>123</vt:i4>
      </vt:variant>
      <vt:variant>
        <vt:i4>0</vt:i4>
      </vt:variant>
      <vt:variant>
        <vt:i4>5</vt:i4>
      </vt:variant>
      <vt:variant>
        <vt:lpwstr>https://www.britannica.com/animal/horse/Evolution-of-the-horse</vt:lpwstr>
      </vt:variant>
      <vt:variant>
        <vt:lpwstr/>
      </vt:variant>
      <vt:variant>
        <vt:i4>7798842</vt:i4>
      </vt:variant>
      <vt:variant>
        <vt:i4>120</vt:i4>
      </vt:variant>
      <vt:variant>
        <vt:i4>0</vt:i4>
      </vt:variant>
      <vt:variant>
        <vt:i4>5</vt:i4>
      </vt:variant>
      <vt:variant>
        <vt:lpwstr>https://www.britannica.com/animal/horse/Evolution-of-the-horse</vt:lpwstr>
      </vt:variant>
      <vt:variant>
        <vt:lpwstr/>
      </vt:variant>
      <vt:variant>
        <vt:i4>6357052</vt:i4>
      </vt:variant>
      <vt:variant>
        <vt:i4>114</vt:i4>
      </vt:variant>
      <vt:variant>
        <vt:i4>0</vt:i4>
      </vt:variant>
      <vt:variant>
        <vt:i4>5</vt:i4>
      </vt:variant>
      <vt:variant>
        <vt:lpwstr>https://breeds.okstate.edu/horses/?Forwarded=afs.okstate.edu/breeds/horses/</vt:lpwstr>
      </vt:variant>
      <vt:variant>
        <vt:lpwstr/>
      </vt:variant>
      <vt:variant>
        <vt:i4>3866737</vt:i4>
      </vt:variant>
      <vt:variant>
        <vt:i4>111</vt:i4>
      </vt:variant>
      <vt:variant>
        <vt:i4>0</vt:i4>
      </vt:variant>
      <vt:variant>
        <vt:i4>5</vt:i4>
      </vt:variant>
      <vt:variant>
        <vt:lpwstr>https://education.nsw.gov.au/teaching-and-learning/animals-in-schools/animals-in-schools-species/horses/horses-introduction</vt:lpwstr>
      </vt:variant>
      <vt:variant>
        <vt:lpwstr/>
      </vt:variant>
      <vt:variant>
        <vt:i4>2818106</vt:i4>
      </vt:variant>
      <vt:variant>
        <vt:i4>108</vt:i4>
      </vt:variant>
      <vt:variant>
        <vt:i4>0</vt:i4>
      </vt:variant>
      <vt:variant>
        <vt:i4>5</vt:i4>
      </vt:variant>
      <vt:variant>
        <vt:lpwstr>https://www.rda.org.au/</vt:lpwstr>
      </vt:variant>
      <vt:variant>
        <vt:lpwstr/>
      </vt:variant>
      <vt:variant>
        <vt:i4>5505033</vt:i4>
      </vt:variant>
      <vt:variant>
        <vt:i4>105</vt:i4>
      </vt:variant>
      <vt:variant>
        <vt:i4>0</vt:i4>
      </vt:variant>
      <vt:variant>
        <vt:i4>5</vt:i4>
      </vt:variant>
      <vt:variant>
        <vt:lpwstr>https://app.education.nsw.gov.au/digital-learning-selector/LearningActivity/Card/599?clearCache=3a564bc9-428d-f8fb-998c-bb688560f336</vt:lpwstr>
      </vt:variant>
      <vt:variant>
        <vt:lpwstr/>
      </vt:variant>
      <vt:variant>
        <vt:i4>393229</vt:i4>
      </vt:variant>
      <vt:variant>
        <vt:i4>102</vt:i4>
      </vt:variant>
      <vt:variant>
        <vt:i4>0</vt:i4>
      </vt:variant>
      <vt:variant>
        <vt:i4>5</vt:i4>
      </vt:variant>
      <vt:variant>
        <vt:lpwstr>https://app.education.nsw.gov.au/digital-learning-selector/LearningActivity/Card/542?clearCache=62982e3e-1aac-7227-14af-da322316f223</vt:lpwstr>
      </vt:variant>
      <vt:variant>
        <vt:lpwstr/>
      </vt:variant>
      <vt:variant>
        <vt:i4>5046350</vt:i4>
      </vt:variant>
      <vt:variant>
        <vt:i4>99</vt:i4>
      </vt:variant>
      <vt:variant>
        <vt:i4>0</vt:i4>
      </vt:variant>
      <vt:variant>
        <vt:i4>5</vt:i4>
      </vt:variant>
      <vt:variant>
        <vt:lpwstr>https://app.education.nsw.gov.au/digital-learning-selector/LearningActivity/Card/542</vt:lpwstr>
      </vt:variant>
      <vt:variant>
        <vt:lpwstr>.Y6EsPLkv3yE.link</vt:lpwstr>
      </vt:variant>
      <vt:variant>
        <vt:i4>2818106</vt:i4>
      </vt:variant>
      <vt:variant>
        <vt:i4>96</vt:i4>
      </vt:variant>
      <vt:variant>
        <vt:i4>0</vt:i4>
      </vt:variant>
      <vt:variant>
        <vt:i4>5</vt:i4>
      </vt:variant>
      <vt:variant>
        <vt:lpwstr>https://www.rda.org.au/</vt:lpwstr>
      </vt:variant>
      <vt:variant>
        <vt:lpwstr/>
      </vt:variant>
      <vt:variant>
        <vt:i4>5701708</vt:i4>
      </vt:variant>
      <vt:variant>
        <vt:i4>90</vt:i4>
      </vt:variant>
      <vt:variant>
        <vt:i4>0</vt:i4>
      </vt:variant>
      <vt:variant>
        <vt:i4>5</vt:i4>
      </vt:variant>
      <vt:variant>
        <vt:lpwstr/>
      </vt:variant>
      <vt:variant>
        <vt:lpwstr>_Additional_information</vt:lpwstr>
      </vt:variant>
      <vt:variant>
        <vt:i4>1048583</vt:i4>
      </vt:variant>
      <vt:variant>
        <vt:i4>87</vt:i4>
      </vt:variant>
      <vt:variant>
        <vt:i4>0</vt:i4>
      </vt:variant>
      <vt:variant>
        <vt:i4>5</vt:i4>
      </vt:variant>
      <vt:variant>
        <vt:lpwstr>https://education.nsw.gov.au/teaching-and-learning/animals-in-schools</vt:lpwstr>
      </vt:variant>
      <vt:variant>
        <vt:lpwstr/>
      </vt:variant>
      <vt:variant>
        <vt:i4>6422588</vt:i4>
      </vt:variant>
      <vt:variant>
        <vt:i4>84</vt:i4>
      </vt:variant>
      <vt:variant>
        <vt:i4>0</vt:i4>
      </vt:variant>
      <vt:variant>
        <vt:i4>5</vt:i4>
      </vt:variant>
      <vt:variant>
        <vt:lpwstr>https://education.nsw.gov.au/teaching-and-learning/curriculum/department-approved-courses/animal-studies</vt:lpwstr>
      </vt:variant>
      <vt:variant>
        <vt:lpwstr>:~:text=Animal%20studies%20is%20a%20specialist,relevant%20to%20their%20local%20context.</vt:lpwstr>
      </vt:variant>
      <vt:variant>
        <vt:i4>3014759</vt:i4>
      </vt:variant>
      <vt:variant>
        <vt:i4>81</vt:i4>
      </vt:variant>
      <vt:variant>
        <vt:i4>0</vt:i4>
      </vt:variant>
      <vt:variant>
        <vt:i4>5</vt:i4>
      </vt:variant>
      <vt:variant>
        <vt:lpwstr>https://schoolsnsw.sharepoint.com/:w:/r/sites/Teachingandlearning7-12StatewideStaffroom-Animalstudies2023/Shared Documents/2023 Animal studies/1. Course document/DAE-Animal-studies-course document-trial.docx?d=wa7b309923dac4a50ad895a5542c716f5&amp;csf=1&amp;web=1&amp;e=b8Nwto</vt:lpwstr>
      </vt:variant>
      <vt:variant>
        <vt:lpwstr/>
      </vt:variant>
      <vt:variant>
        <vt:i4>1245241</vt:i4>
      </vt:variant>
      <vt:variant>
        <vt:i4>74</vt:i4>
      </vt:variant>
      <vt:variant>
        <vt:i4>0</vt:i4>
      </vt:variant>
      <vt:variant>
        <vt:i4>5</vt:i4>
      </vt:variant>
      <vt:variant>
        <vt:lpwstr/>
      </vt:variant>
      <vt:variant>
        <vt:lpwstr>_Toc148090906</vt:lpwstr>
      </vt:variant>
      <vt:variant>
        <vt:i4>1245241</vt:i4>
      </vt:variant>
      <vt:variant>
        <vt:i4>68</vt:i4>
      </vt:variant>
      <vt:variant>
        <vt:i4>0</vt:i4>
      </vt:variant>
      <vt:variant>
        <vt:i4>5</vt:i4>
      </vt:variant>
      <vt:variant>
        <vt:lpwstr/>
      </vt:variant>
      <vt:variant>
        <vt:lpwstr>_Toc148090905</vt:lpwstr>
      </vt:variant>
      <vt:variant>
        <vt:i4>1245241</vt:i4>
      </vt:variant>
      <vt:variant>
        <vt:i4>62</vt:i4>
      </vt:variant>
      <vt:variant>
        <vt:i4>0</vt:i4>
      </vt:variant>
      <vt:variant>
        <vt:i4>5</vt:i4>
      </vt:variant>
      <vt:variant>
        <vt:lpwstr/>
      </vt:variant>
      <vt:variant>
        <vt:lpwstr>_Toc148090904</vt:lpwstr>
      </vt:variant>
      <vt:variant>
        <vt:i4>1245241</vt:i4>
      </vt:variant>
      <vt:variant>
        <vt:i4>56</vt:i4>
      </vt:variant>
      <vt:variant>
        <vt:i4>0</vt:i4>
      </vt:variant>
      <vt:variant>
        <vt:i4>5</vt:i4>
      </vt:variant>
      <vt:variant>
        <vt:lpwstr/>
      </vt:variant>
      <vt:variant>
        <vt:lpwstr>_Toc148090903</vt:lpwstr>
      </vt:variant>
      <vt:variant>
        <vt:i4>1245241</vt:i4>
      </vt:variant>
      <vt:variant>
        <vt:i4>50</vt:i4>
      </vt:variant>
      <vt:variant>
        <vt:i4>0</vt:i4>
      </vt:variant>
      <vt:variant>
        <vt:i4>5</vt:i4>
      </vt:variant>
      <vt:variant>
        <vt:lpwstr/>
      </vt:variant>
      <vt:variant>
        <vt:lpwstr>_Toc148090902</vt:lpwstr>
      </vt:variant>
      <vt:variant>
        <vt:i4>1245241</vt:i4>
      </vt:variant>
      <vt:variant>
        <vt:i4>44</vt:i4>
      </vt:variant>
      <vt:variant>
        <vt:i4>0</vt:i4>
      </vt:variant>
      <vt:variant>
        <vt:i4>5</vt:i4>
      </vt:variant>
      <vt:variant>
        <vt:lpwstr/>
      </vt:variant>
      <vt:variant>
        <vt:lpwstr>_Toc148090901</vt:lpwstr>
      </vt:variant>
      <vt:variant>
        <vt:i4>1245241</vt:i4>
      </vt:variant>
      <vt:variant>
        <vt:i4>38</vt:i4>
      </vt:variant>
      <vt:variant>
        <vt:i4>0</vt:i4>
      </vt:variant>
      <vt:variant>
        <vt:i4>5</vt:i4>
      </vt:variant>
      <vt:variant>
        <vt:lpwstr/>
      </vt:variant>
      <vt:variant>
        <vt:lpwstr>_Toc148090900</vt:lpwstr>
      </vt:variant>
      <vt:variant>
        <vt:i4>1703992</vt:i4>
      </vt:variant>
      <vt:variant>
        <vt:i4>32</vt:i4>
      </vt:variant>
      <vt:variant>
        <vt:i4>0</vt:i4>
      </vt:variant>
      <vt:variant>
        <vt:i4>5</vt:i4>
      </vt:variant>
      <vt:variant>
        <vt:lpwstr/>
      </vt:variant>
      <vt:variant>
        <vt:lpwstr>_Toc148090899</vt:lpwstr>
      </vt:variant>
      <vt:variant>
        <vt:i4>1703992</vt:i4>
      </vt:variant>
      <vt:variant>
        <vt:i4>26</vt:i4>
      </vt:variant>
      <vt:variant>
        <vt:i4>0</vt:i4>
      </vt:variant>
      <vt:variant>
        <vt:i4>5</vt:i4>
      </vt:variant>
      <vt:variant>
        <vt:lpwstr/>
      </vt:variant>
      <vt:variant>
        <vt:lpwstr>_Toc148090898</vt:lpwstr>
      </vt:variant>
      <vt:variant>
        <vt:i4>1703992</vt:i4>
      </vt:variant>
      <vt:variant>
        <vt:i4>20</vt:i4>
      </vt:variant>
      <vt:variant>
        <vt:i4>0</vt:i4>
      </vt:variant>
      <vt:variant>
        <vt:i4>5</vt:i4>
      </vt:variant>
      <vt:variant>
        <vt:lpwstr/>
      </vt:variant>
      <vt:variant>
        <vt:lpwstr>_Toc148090897</vt:lpwstr>
      </vt:variant>
      <vt:variant>
        <vt:i4>1703992</vt:i4>
      </vt:variant>
      <vt:variant>
        <vt:i4>14</vt:i4>
      </vt:variant>
      <vt:variant>
        <vt:i4>0</vt:i4>
      </vt:variant>
      <vt:variant>
        <vt:i4>5</vt:i4>
      </vt:variant>
      <vt:variant>
        <vt:lpwstr/>
      </vt:variant>
      <vt:variant>
        <vt:lpwstr>_Toc148090896</vt:lpwstr>
      </vt:variant>
      <vt:variant>
        <vt:i4>1703992</vt:i4>
      </vt:variant>
      <vt:variant>
        <vt:i4>8</vt:i4>
      </vt:variant>
      <vt:variant>
        <vt:i4>0</vt:i4>
      </vt:variant>
      <vt:variant>
        <vt:i4>5</vt:i4>
      </vt:variant>
      <vt:variant>
        <vt:lpwstr/>
      </vt:variant>
      <vt:variant>
        <vt:lpwstr>_Toc148090895</vt:lpwstr>
      </vt:variant>
      <vt:variant>
        <vt:i4>1703992</vt:i4>
      </vt:variant>
      <vt:variant>
        <vt:i4>2</vt:i4>
      </vt:variant>
      <vt:variant>
        <vt:i4>0</vt:i4>
      </vt:variant>
      <vt:variant>
        <vt:i4>5</vt:i4>
      </vt:variant>
      <vt:variant>
        <vt:lpwstr/>
      </vt:variant>
      <vt:variant>
        <vt:lpwstr>_Toc148090894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animal-studies-s5-core-1-equine-studies-the industry</dc:title>
  <dc:subject/>
  <dc:creator>NSW Department of Education</dc:creator>
  <cp:keywords>Stage 5</cp:keywords>
  <dc:description/>
  <dcterms:created xsi:type="dcterms:W3CDTF">2023-12-12T06:03:00Z</dcterms:created>
  <dcterms:modified xsi:type="dcterms:W3CDTF">2023-12-12T06:04:00Z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2023-12-12T06:04:11Z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9f927c21-1018-4951-a57a-b5d2fc5f76c3</vt:lpwstr>
  </property>
  <property fmtid="{D5CDD505-2E9C-101B-9397-08002B2CF9AE}" pid="8" name="MSIP_Label_b603dfd7-d93a-4381-a340-2995d8282205_ContentBits">
    <vt:lpwstr>0</vt:lpwstr>
  </property>
</Properties>
</file>