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47EC6945" w:rsidR="00D7649E" w:rsidRPr="00216244" w:rsidRDefault="008C0885" w:rsidP="0018144D">
      <w:pPr>
        <w:pStyle w:val="Heading1"/>
        <w:spacing w:before="480" w:after="480" w:line="276" w:lineRule="auto"/>
      </w:pPr>
      <w:r>
        <w:t xml:space="preserve">Factsheet: </w:t>
      </w:r>
      <w:r w:rsidR="005370E2">
        <w:t>Multiple opportunities to respond</w:t>
      </w:r>
    </w:p>
    <w:p w14:paraId="2B9983F7" w14:textId="77777777" w:rsidR="00BE472B" w:rsidRDefault="00BE472B" w:rsidP="00AC6FDB">
      <w:pPr>
        <w:pStyle w:val="Heading2"/>
        <w:spacing w:line="276" w:lineRule="auto"/>
        <w:rPr>
          <w:rFonts w:eastAsia="Arial"/>
          <w:sz w:val="28"/>
          <w:szCs w:val="28"/>
        </w:rPr>
      </w:pPr>
      <w:r>
        <w:rPr>
          <w:rFonts w:eastAsia="Arial"/>
          <w:sz w:val="28"/>
          <w:szCs w:val="28"/>
        </w:rPr>
        <w:t>What are opportunities to respond?</w:t>
      </w:r>
    </w:p>
    <w:p w14:paraId="3B687266" w14:textId="738BD708" w:rsidR="00BE472B" w:rsidRDefault="00BE472B" w:rsidP="00AC6FDB">
      <w:r w:rsidRPr="00431714">
        <w:t xml:space="preserve">Opportunities to Respond (OTR) refer to instructional questions, statements, or gestures made by the teacher that seek academic responses from students (Sutherland </w:t>
      </w:r>
      <w:r w:rsidR="008E2D9A">
        <w:t>and</w:t>
      </w:r>
      <w:r w:rsidRPr="00431714">
        <w:t xml:space="preserve"> Snyder 2021). This approach is designed to increase student engagement and participation, as it encourages active involvement in the learning process. By providing multiple OTR, teachers can enhance classroom dynamics and foster a more interactive learning environment.</w:t>
      </w:r>
    </w:p>
    <w:p w14:paraId="3C83B011" w14:textId="31E770EE" w:rsidR="00BE472B" w:rsidRDefault="00BE472B" w:rsidP="00602EC7">
      <w:pPr>
        <w:pStyle w:val="Heading2"/>
        <w:spacing w:line="276" w:lineRule="auto"/>
      </w:pPr>
      <w:r>
        <w:rPr>
          <w:rFonts w:eastAsia="Arial"/>
          <w:sz w:val="28"/>
          <w:szCs w:val="28"/>
        </w:rPr>
        <w:t>Research</w:t>
      </w:r>
    </w:p>
    <w:p w14:paraId="3BA51DC5" w14:textId="08F44A50" w:rsidR="00105FE7" w:rsidRDefault="00105FE7" w:rsidP="00602EC7">
      <w:pPr>
        <w:rPr>
          <w:bCs/>
        </w:rPr>
      </w:pPr>
      <w:r w:rsidRPr="00105FE7">
        <w:t>Recent research under</w:t>
      </w:r>
      <w:r w:rsidR="00431714">
        <w:t>pins</w:t>
      </w:r>
      <w:r w:rsidRPr="00105FE7">
        <w:t xml:space="preserve"> the effectiveness of providing multiple opportunities to respond (OTR) as a strategy to enhance classroom engagement and reduce disruptive behaviour. Implementing OTR has been shown to decrease disruptive behaviour, increase on-task behaviour, and boost overall academic engagement (Berg </w:t>
      </w:r>
      <w:r w:rsidR="008E2D9A">
        <w:t>and</w:t>
      </w:r>
      <w:r w:rsidRPr="00105FE7">
        <w:t xml:space="preserve"> Ahlgrim-Delzell 2020; Sutherland </w:t>
      </w:r>
      <w:r w:rsidR="003930E1">
        <w:t>and</w:t>
      </w:r>
      <w:r w:rsidRPr="00105FE7">
        <w:t xml:space="preserve"> Snyder 2021). Additionally, it contributes to a higher number of correct responses, limits the time students engage in inappropriate behaviour, and maximises the efficiency of instructional time (Carter </w:t>
      </w:r>
      <w:r w:rsidR="003930E1">
        <w:t>and</w:t>
      </w:r>
      <w:r w:rsidRPr="00105FE7">
        <w:t xml:space="preserve"> O'Rourke 2018; Hattie 2021). Enhanced OTR practices also lead to increased rates of positive, specific feedback, reinforcing desired behaviours and promoting a more productive learning environment (Heward 2019).</w:t>
      </w:r>
    </w:p>
    <w:p w14:paraId="0EEF2CB7" w14:textId="4794FA6B" w:rsidR="006569BC" w:rsidRDefault="00B14663" w:rsidP="000F075A">
      <w:pPr>
        <w:pStyle w:val="Heading2"/>
        <w:spacing w:line="276" w:lineRule="auto"/>
        <w:rPr>
          <w:rFonts w:eastAsia="Arial"/>
          <w:sz w:val="28"/>
          <w:szCs w:val="28"/>
        </w:rPr>
      </w:pPr>
      <w:r>
        <w:rPr>
          <w:rFonts w:eastAsia="Arial"/>
          <w:sz w:val="28"/>
          <w:szCs w:val="28"/>
        </w:rPr>
        <w:t>Guidelines for implementation</w:t>
      </w:r>
    </w:p>
    <w:p w14:paraId="54FFB490" w14:textId="37A58994" w:rsidR="000F075A" w:rsidRPr="006569BC" w:rsidRDefault="009165A4" w:rsidP="00602EC7">
      <w:pPr>
        <w:spacing w:before="120"/>
      </w:pPr>
      <w:r>
        <w:t xml:space="preserve">The </w:t>
      </w:r>
      <w:r w:rsidR="00B105C2">
        <w:t>following guidelines</w:t>
      </w:r>
      <w:r w:rsidRPr="009165A4">
        <w:t xml:space="preserve"> focus on maximising student engagement and ensuring effective teaching practices. Always consider the specific context of your classroom and adjust as necessary to meet the needs of your students.</w:t>
      </w:r>
    </w:p>
    <w:p w14:paraId="6902EEAD" w14:textId="15A11B5F" w:rsidR="000F075A" w:rsidRPr="000F075A" w:rsidRDefault="000F075A" w:rsidP="00602EC7">
      <w:pPr>
        <w:numPr>
          <w:ilvl w:val="0"/>
          <w:numId w:val="43"/>
        </w:numPr>
        <w:spacing w:before="120" w:line="276" w:lineRule="auto"/>
      </w:pPr>
      <w:r w:rsidRPr="000F075A">
        <w:rPr>
          <w:b/>
          <w:bCs/>
        </w:rPr>
        <w:t xml:space="preserve">Teacher </w:t>
      </w:r>
      <w:r w:rsidR="008D674A">
        <w:rPr>
          <w:b/>
          <w:bCs/>
        </w:rPr>
        <w:t>t</w:t>
      </w:r>
      <w:r w:rsidRPr="000F075A">
        <w:rPr>
          <w:b/>
          <w:bCs/>
        </w:rPr>
        <w:t>alk</w:t>
      </w:r>
      <w:r w:rsidRPr="000F075A">
        <w:t>: Aim for teacher talk to be no more than 30-40% of instructional time to maximise student engagement.</w:t>
      </w:r>
    </w:p>
    <w:p w14:paraId="308B49E0" w14:textId="0738A6B0" w:rsidR="000F075A" w:rsidRPr="000F075A" w:rsidRDefault="000F075A" w:rsidP="00602EC7">
      <w:pPr>
        <w:numPr>
          <w:ilvl w:val="0"/>
          <w:numId w:val="43"/>
        </w:numPr>
        <w:spacing w:before="120" w:line="276" w:lineRule="auto"/>
      </w:pPr>
      <w:r w:rsidRPr="000F075A">
        <w:rPr>
          <w:b/>
          <w:bCs/>
        </w:rPr>
        <w:t xml:space="preserve">New </w:t>
      </w:r>
      <w:r w:rsidR="008D674A">
        <w:rPr>
          <w:b/>
          <w:bCs/>
        </w:rPr>
        <w:t>m</w:t>
      </w:r>
      <w:r w:rsidRPr="000F075A">
        <w:rPr>
          <w:b/>
          <w:bCs/>
        </w:rPr>
        <w:t>aterial</w:t>
      </w:r>
      <w:r w:rsidRPr="000F075A">
        <w:t>: For new material, target a minimum of 6-10 responses per minute with an accuracy level of at least 80% to ensure students are actively processing the information.</w:t>
      </w:r>
    </w:p>
    <w:p w14:paraId="6A9DE6D9" w14:textId="7541EDC4" w:rsidR="000F075A" w:rsidRPr="000F075A" w:rsidRDefault="000F075A" w:rsidP="00602EC7">
      <w:pPr>
        <w:numPr>
          <w:ilvl w:val="0"/>
          <w:numId w:val="43"/>
        </w:numPr>
        <w:spacing w:before="120" w:line="276" w:lineRule="auto"/>
      </w:pPr>
      <w:r w:rsidRPr="000F075A">
        <w:rPr>
          <w:b/>
          <w:bCs/>
        </w:rPr>
        <w:t xml:space="preserve">Review of </w:t>
      </w:r>
      <w:r w:rsidR="008D674A">
        <w:rPr>
          <w:b/>
          <w:bCs/>
        </w:rPr>
        <w:t>l</w:t>
      </w:r>
      <w:r w:rsidRPr="000F075A">
        <w:rPr>
          <w:b/>
          <w:bCs/>
        </w:rPr>
        <w:t xml:space="preserve">earned </w:t>
      </w:r>
      <w:r w:rsidR="008D674A">
        <w:rPr>
          <w:b/>
          <w:bCs/>
        </w:rPr>
        <w:t>m</w:t>
      </w:r>
      <w:r w:rsidRPr="000F075A">
        <w:rPr>
          <w:b/>
          <w:bCs/>
        </w:rPr>
        <w:t>aterial</w:t>
      </w:r>
      <w:r w:rsidRPr="000F075A">
        <w:t>: During review sessions, aim for 12-15 responses per minute, maintaining an accuracy rate of approximately 90% to reinforce retention and understanding.</w:t>
      </w:r>
    </w:p>
    <w:p w14:paraId="46ADEFD1" w14:textId="4F8B6B3D" w:rsidR="000F075A" w:rsidRPr="000F075A" w:rsidRDefault="000F075A" w:rsidP="00602EC7">
      <w:pPr>
        <w:numPr>
          <w:ilvl w:val="0"/>
          <w:numId w:val="43"/>
        </w:numPr>
        <w:spacing w:before="120" w:line="276" w:lineRule="auto"/>
        <w:ind w:left="714" w:hanging="357"/>
      </w:pPr>
      <w:r w:rsidRPr="000F075A">
        <w:rPr>
          <w:b/>
          <w:bCs/>
        </w:rPr>
        <w:t xml:space="preserve">Wait </w:t>
      </w:r>
      <w:r w:rsidR="008D674A">
        <w:rPr>
          <w:b/>
          <w:bCs/>
        </w:rPr>
        <w:t>t</w:t>
      </w:r>
      <w:r w:rsidRPr="000F075A">
        <w:rPr>
          <w:b/>
          <w:bCs/>
        </w:rPr>
        <w:t>ime</w:t>
      </w:r>
      <w:r w:rsidRPr="000F075A">
        <w:t>: Increase wait time to 5-10 seconds to allow students sufficient time to formulate their responses, which can enhance the quality of engagement and participation.</w:t>
      </w:r>
    </w:p>
    <w:p w14:paraId="4EC30D4A" w14:textId="732EF30E" w:rsidR="00362418" w:rsidRDefault="00410B53" w:rsidP="00AC6FDB">
      <w:pPr>
        <w:pStyle w:val="Heading2"/>
        <w:spacing w:line="276" w:lineRule="auto"/>
        <w:rPr>
          <w:rFonts w:eastAsia="Arial"/>
          <w:sz w:val="28"/>
          <w:szCs w:val="28"/>
        </w:rPr>
      </w:pPr>
      <w:r w:rsidRPr="00844C43">
        <w:rPr>
          <w:rFonts w:eastAsia="Arial"/>
          <w:sz w:val="28"/>
          <w:szCs w:val="28"/>
        </w:rPr>
        <w:lastRenderedPageBreak/>
        <w:t>Examples of opportunities to respond</w:t>
      </w:r>
    </w:p>
    <w:p w14:paraId="5FC96C46" w14:textId="51780E22" w:rsidR="00B539E4" w:rsidRDefault="005A0239" w:rsidP="00AC6FDB">
      <w:pPr>
        <w:spacing w:before="120" w:line="276" w:lineRule="auto"/>
        <w:rPr>
          <w:lang w:val="en-US"/>
        </w:rPr>
      </w:pPr>
      <w:r>
        <w:rPr>
          <w:lang w:val="en-US"/>
        </w:rPr>
        <w:t xml:space="preserve">When using opportunities to respond </w:t>
      </w:r>
      <w:r w:rsidR="00B539E4">
        <w:rPr>
          <w:lang w:val="en-US"/>
        </w:rPr>
        <w:t xml:space="preserve">teachers should consider identifying </w:t>
      </w:r>
      <w:r w:rsidR="002C3F6E">
        <w:rPr>
          <w:lang w:val="en-US"/>
        </w:rPr>
        <w:t>strategies</w:t>
      </w:r>
      <w:r w:rsidR="00B539E4">
        <w:rPr>
          <w:lang w:val="en-US"/>
        </w:rPr>
        <w:t>:</w:t>
      </w:r>
    </w:p>
    <w:p w14:paraId="7115AB3F" w14:textId="4BAC26CC" w:rsidR="00B539E4" w:rsidRDefault="00B93CBA" w:rsidP="00AC6FDB">
      <w:pPr>
        <w:pStyle w:val="ListBullet"/>
        <w:spacing w:before="120" w:line="276" w:lineRule="auto"/>
        <w:rPr>
          <w:lang w:val="en-US"/>
        </w:rPr>
      </w:pPr>
      <w:r w:rsidRPr="00C817BD">
        <w:rPr>
          <w:lang w:val="en-US"/>
        </w:rPr>
        <w:t>within lesson plans to increase opportunities for students to respond.</w:t>
      </w:r>
    </w:p>
    <w:p w14:paraId="63D47404" w14:textId="49B5ECBD" w:rsidR="00B93CBA" w:rsidRPr="00B539E4" w:rsidRDefault="00B93CBA" w:rsidP="00AC6FDB">
      <w:pPr>
        <w:pStyle w:val="ListBullet"/>
        <w:spacing w:before="120" w:line="276" w:lineRule="auto"/>
        <w:rPr>
          <w:lang w:val="en-US"/>
        </w:rPr>
      </w:pPr>
      <w:r w:rsidRPr="00B539E4">
        <w:rPr>
          <w:lang w:val="en-US"/>
        </w:rPr>
        <w:t xml:space="preserve">to replace single student responding through hand-raising with multiple student </w:t>
      </w:r>
      <w:r w:rsidR="00DE1106">
        <w:rPr>
          <w:lang w:val="en-US"/>
        </w:rPr>
        <w:t>engagement</w:t>
      </w:r>
      <w:r w:rsidR="00B539E4">
        <w:rPr>
          <w:lang w:val="en-US"/>
        </w:rPr>
        <w:t>. For example</w:t>
      </w:r>
      <w:r w:rsidRPr="00B539E4">
        <w:rPr>
          <w:lang w:val="en-US"/>
        </w:rPr>
        <w:t xml:space="preserve">: use of response cards, </w:t>
      </w:r>
      <w:r w:rsidR="007C2DDA" w:rsidRPr="00B539E4">
        <w:rPr>
          <w:lang w:val="en-US"/>
        </w:rPr>
        <w:t>mini white</w:t>
      </w:r>
      <w:r w:rsidRPr="00B539E4">
        <w:rPr>
          <w:lang w:val="en-US"/>
        </w:rPr>
        <w:t xml:space="preserve"> boards, choral response, guided notes, computer assisted instruction</w:t>
      </w:r>
      <w:r w:rsidR="00E91604" w:rsidRPr="00B539E4">
        <w:rPr>
          <w:lang w:val="en-US"/>
        </w:rPr>
        <w:t xml:space="preserve"> </w:t>
      </w:r>
      <w:r w:rsidR="00BE472B">
        <w:rPr>
          <w:lang w:val="en-US"/>
        </w:rPr>
        <w:t>(</w:t>
      </w:r>
      <w:r w:rsidR="00E91604" w:rsidRPr="00B539E4">
        <w:rPr>
          <w:lang w:val="en-US"/>
        </w:rPr>
        <w:t>Kahoot/</w:t>
      </w:r>
      <w:r w:rsidR="00D533DA" w:rsidRPr="00B539E4">
        <w:rPr>
          <w:lang w:val="en-US"/>
        </w:rPr>
        <w:t xml:space="preserve"> </w:t>
      </w:r>
      <w:r w:rsidR="00E91604" w:rsidRPr="00B539E4">
        <w:rPr>
          <w:lang w:val="en-US"/>
        </w:rPr>
        <w:t>jam boards</w:t>
      </w:r>
      <w:r w:rsidR="00BE472B">
        <w:rPr>
          <w:lang w:val="en-US"/>
        </w:rPr>
        <w:t xml:space="preserve"> </w:t>
      </w:r>
      <w:proofErr w:type="spellStart"/>
      <w:r w:rsidR="00BE472B">
        <w:rPr>
          <w:lang w:val="en-US"/>
        </w:rPr>
        <w:t>etc</w:t>
      </w:r>
      <w:proofErr w:type="spellEnd"/>
      <w:r w:rsidR="00BE472B">
        <w:rPr>
          <w:lang w:val="en-US"/>
        </w:rPr>
        <w:t>)</w:t>
      </w:r>
      <w:r w:rsidRPr="00B539E4">
        <w:rPr>
          <w:lang w:val="en-US"/>
        </w:rPr>
        <w:t xml:space="preserve">, </w:t>
      </w:r>
      <w:r w:rsidR="00012285" w:rsidRPr="00B539E4">
        <w:rPr>
          <w:lang w:val="en-US"/>
        </w:rPr>
        <w:t>think/pair/share</w:t>
      </w:r>
      <w:r w:rsidRPr="00B539E4">
        <w:rPr>
          <w:lang w:val="en-US"/>
        </w:rPr>
        <w:t xml:space="preserve"> and direct instruction.</w:t>
      </w:r>
    </w:p>
    <w:tbl>
      <w:tblPr>
        <w:tblStyle w:val="Tableheader"/>
        <w:tblW w:w="0" w:type="auto"/>
        <w:tblLayout w:type="fixed"/>
        <w:tblLook w:val="04A0" w:firstRow="1" w:lastRow="0" w:firstColumn="1" w:lastColumn="0" w:noHBand="0" w:noVBand="1"/>
        <w:tblDescription w:val="This table is 3 rows and 3 columns with examples of opportunities to respond."/>
      </w:tblPr>
      <w:tblGrid>
        <w:gridCol w:w="3114"/>
        <w:gridCol w:w="3118"/>
        <w:gridCol w:w="3398"/>
      </w:tblGrid>
      <w:tr w:rsidR="001478F0" w:rsidRPr="001E357D" w14:paraId="37EB6D7A" w14:textId="77777777" w:rsidTr="0033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5CF1C5" w14:textId="77777777" w:rsidR="001E357D" w:rsidRDefault="00B407F3" w:rsidP="003A7A13">
            <w:pPr>
              <w:suppressAutoHyphens w:val="0"/>
              <w:spacing w:before="0" w:after="0" w:line="276" w:lineRule="auto"/>
              <w:rPr>
                <w:rFonts w:eastAsia="Times New Roman"/>
                <w:b w:val="0"/>
                <w:bCs/>
                <w:color w:val="FFFFFF"/>
                <w:szCs w:val="22"/>
                <w:lang w:eastAsia="en-AU"/>
              </w:rPr>
            </w:pPr>
            <w:r>
              <w:rPr>
                <w:rFonts w:eastAsia="Times New Roman"/>
                <w:bCs/>
                <w:color w:val="FFFFFF"/>
                <w:szCs w:val="22"/>
                <w:lang w:eastAsia="en-AU"/>
              </w:rPr>
              <w:t>Antecedent</w:t>
            </w:r>
          </w:p>
          <w:p w14:paraId="6A9B50AE" w14:textId="5776084C" w:rsidR="00A67E90" w:rsidRPr="001E357D" w:rsidRDefault="00983806" w:rsidP="003A7A13">
            <w:pPr>
              <w:suppressAutoHyphens w:val="0"/>
              <w:spacing w:before="0" w:after="0" w:line="276" w:lineRule="auto"/>
              <w:rPr>
                <w:rFonts w:eastAsia="Times New Roman"/>
                <w:b w:val="0"/>
                <w:color w:val="FFFFFF"/>
                <w:szCs w:val="22"/>
                <w:lang w:eastAsia="en-AU"/>
              </w:rPr>
            </w:pPr>
            <w:r w:rsidRPr="007E4D0B">
              <w:rPr>
                <w:rFonts w:eastAsia="Times New Roman"/>
                <w:b w:val="0"/>
                <w:i/>
                <w:color w:val="FFFFFF"/>
                <w:szCs w:val="22"/>
                <w:lang w:val="en-US" w:eastAsia="en-AU"/>
              </w:rPr>
              <w:t xml:space="preserve">Teacher provides: </w:t>
            </w:r>
            <w:r w:rsidRPr="007E4D0B">
              <w:rPr>
                <w:rFonts w:eastAsia="Times New Roman"/>
                <w:b w:val="0"/>
                <w:color w:val="FFFFFF"/>
                <w:szCs w:val="22"/>
                <w:lang w:val="en-US" w:eastAsia="en-AU"/>
              </w:rPr>
              <w:t xml:space="preserve">Verbal </w:t>
            </w:r>
            <w:r w:rsidR="008A0EAC">
              <w:rPr>
                <w:rFonts w:eastAsia="Times New Roman"/>
                <w:b w:val="0"/>
                <w:color w:val="FFFFFF"/>
                <w:szCs w:val="22"/>
                <w:lang w:val="en-US" w:eastAsia="en-AU"/>
              </w:rPr>
              <w:t>q</w:t>
            </w:r>
            <w:r w:rsidRPr="007E4D0B">
              <w:rPr>
                <w:rFonts w:eastAsia="Times New Roman"/>
                <w:b w:val="0"/>
                <w:color w:val="FFFFFF"/>
                <w:szCs w:val="22"/>
                <w:lang w:val="en-US" w:eastAsia="en-AU"/>
              </w:rPr>
              <w:t xml:space="preserve">uestions, </w:t>
            </w:r>
            <w:r w:rsidR="008A0EAC">
              <w:rPr>
                <w:rFonts w:eastAsia="Times New Roman"/>
                <w:b w:val="0"/>
                <w:color w:val="FFFFFF"/>
                <w:szCs w:val="22"/>
                <w:lang w:val="en-US" w:eastAsia="en-AU"/>
              </w:rPr>
              <w:t>p</w:t>
            </w:r>
            <w:r w:rsidRPr="007E4D0B">
              <w:rPr>
                <w:rFonts w:eastAsia="Times New Roman"/>
                <w:b w:val="0"/>
                <w:color w:val="FFFFFF"/>
                <w:szCs w:val="22"/>
                <w:lang w:val="en-US" w:eastAsia="en-AU"/>
              </w:rPr>
              <w:t xml:space="preserve">rompts, </w:t>
            </w:r>
            <w:r w:rsidR="008A0EAC">
              <w:rPr>
                <w:rFonts w:eastAsia="Times New Roman"/>
                <w:b w:val="0"/>
                <w:color w:val="FFFFFF"/>
                <w:szCs w:val="22"/>
                <w:lang w:val="en-US" w:eastAsia="en-AU"/>
              </w:rPr>
              <w:t>c</w:t>
            </w:r>
            <w:r w:rsidRPr="007E4D0B">
              <w:rPr>
                <w:rFonts w:eastAsia="Times New Roman"/>
                <w:b w:val="0"/>
                <w:color w:val="FFFFFF"/>
                <w:szCs w:val="22"/>
                <w:lang w:val="en-US" w:eastAsia="en-AU"/>
              </w:rPr>
              <w:t>ues</w:t>
            </w:r>
          </w:p>
        </w:tc>
        <w:tc>
          <w:tcPr>
            <w:tcW w:w="3118" w:type="dxa"/>
          </w:tcPr>
          <w:p w14:paraId="65F2D65C" w14:textId="77777777" w:rsidR="001E357D" w:rsidRDefault="00B407F3" w:rsidP="003A7A13">
            <w:pPr>
              <w:suppressAutoHyphens w:val="0"/>
              <w:spacing w:before="0" w:after="0" w:line="276" w:lineRule="auto"/>
              <w:cnfStyle w:val="100000000000" w:firstRow="1" w:lastRow="0" w:firstColumn="0" w:lastColumn="0" w:oddVBand="0" w:evenVBand="0" w:oddHBand="0" w:evenHBand="0" w:firstRowFirstColumn="0" w:firstRowLastColumn="0" w:lastRowFirstColumn="0" w:lastRowLastColumn="0"/>
              <w:rPr>
                <w:rFonts w:eastAsia="Times New Roman"/>
                <w:b w:val="0"/>
                <w:bCs/>
                <w:color w:val="FFFFFF"/>
                <w:szCs w:val="22"/>
                <w:lang w:eastAsia="en-AU"/>
              </w:rPr>
            </w:pPr>
            <w:r>
              <w:rPr>
                <w:rFonts w:eastAsia="Times New Roman"/>
                <w:bCs/>
                <w:color w:val="FFFFFF"/>
                <w:szCs w:val="22"/>
                <w:lang w:eastAsia="en-AU"/>
              </w:rPr>
              <w:t>Behaviour</w:t>
            </w:r>
          </w:p>
          <w:p w14:paraId="6373091D" w14:textId="26DE57F2" w:rsidR="00877D9A" w:rsidRPr="001E357D" w:rsidRDefault="00877D9A" w:rsidP="003A7A13">
            <w:pPr>
              <w:suppressAutoHyphens w:val="0"/>
              <w:spacing w:before="0" w:after="0" w:line="276" w:lineRule="auto"/>
              <w:cnfStyle w:val="100000000000" w:firstRow="1" w:lastRow="0" w:firstColumn="0" w:lastColumn="0" w:oddVBand="0" w:evenVBand="0" w:oddHBand="0" w:evenHBand="0" w:firstRowFirstColumn="0" w:firstRowLastColumn="0" w:lastRowFirstColumn="0" w:lastRowLastColumn="0"/>
              <w:rPr>
                <w:rFonts w:eastAsia="Times New Roman"/>
                <w:b w:val="0"/>
                <w:color w:val="FFFFFF"/>
                <w:szCs w:val="22"/>
                <w:lang w:eastAsia="en-AU"/>
              </w:rPr>
            </w:pPr>
            <w:r w:rsidRPr="007E4D0B">
              <w:rPr>
                <w:rFonts w:eastAsia="Times New Roman"/>
                <w:b w:val="0"/>
                <w:i/>
                <w:color w:val="FFFFFF"/>
                <w:szCs w:val="22"/>
                <w:lang w:val="en-US" w:eastAsia="en-AU"/>
              </w:rPr>
              <w:t xml:space="preserve">Student Responses: </w:t>
            </w:r>
            <w:r w:rsidR="008A0EAC">
              <w:rPr>
                <w:rFonts w:eastAsia="Times New Roman"/>
                <w:b w:val="0"/>
                <w:i/>
                <w:color w:val="FFFFFF"/>
                <w:szCs w:val="22"/>
                <w:lang w:val="en-US" w:eastAsia="en-AU"/>
              </w:rPr>
              <w:t>w</w:t>
            </w:r>
            <w:r w:rsidRPr="007E4D0B">
              <w:rPr>
                <w:rFonts w:eastAsia="Times New Roman"/>
                <w:b w:val="0"/>
                <w:color w:val="FFFFFF"/>
                <w:szCs w:val="22"/>
                <w:lang w:val="en-US" w:eastAsia="en-AU"/>
              </w:rPr>
              <w:t xml:space="preserve">ritten, </w:t>
            </w:r>
            <w:r w:rsidR="008A0EAC">
              <w:rPr>
                <w:rFonts w:eastAsia="Times New Roman"/>
                <w:b w:val="0"/>
                <w:color w:val="FFFFFF"/>
                <w:szCs w:val="22"/>
                <w:lang w:val="en-US" w:eastAsia="en-AU"/>
              </w:rPr>
              <w:t>c</w:t>
            </w:r>
            <w:r w:rsidRPr="007E4D0B">
              <w:rPr>
                <w:rFonts w:eastAsia="Times New Roman"/>
                <w:b w:val="0"/>
                <w:color w:val="FFFFFF"/>
                <w:szCs w:val="22"/>
                <w:lang w:val="en-US" w:eastAsia="en-AU"/>
              </w:rPr>
              <w:t xml:space="preserve">horal </w:t>
            </w:r>
            <w:r w:rsidR="008A0EAC">
              <w:rPr>
                <w:rFonts w:eastAsia="Times New Roman"/>
                <w:b w:val="0"/>
                <w:color w:val="FFFFFF"/>
                <w:szCs w:val="22"/>
                <w:lang w:val="en-US" w:eastAsia="en-AU"/>
              </w:rPr>
              <w:t>v</w:t>
            </w:r>
            <w:r w:rsidRPr="007E4D0B">
              <w:rPr>
                <w:rFonts w:eastAsia="Times New Roman"/>
                <w:b w:val="0"/>
                <w:color w:val="FFFFFF"/>
                <w:szCs w:val="22"/>
                <w:lang w:val="en-US" w:eastAsia="en-AU"/>
              </w:rPr>
              <w:t xml:space="preserve">erbal, </w:t>
            </w:r>
            <w:r w:rsidR="008A0EAC">
              <w:rPr>
                <w:rFonts w:eastAsia="Times New Roman"/>
                <w:b w:val="0"/>
                <w:color w:val="FFFFFF"/>
                <w:szCs w:val="22"/>
                <w:lang w:val="en-US" w:eastAsia="en-AU"/>
              </w:rPr>
              <w:t>motor</w:t>
            </w:r>
          </w:p>
        </w:tc>
        <w:tc>
          <w:tcPr>
            <w:tcW w:w="3398" w:type="dxa"/>
          </w:tcPr>
          <w:p w14:paraId="251A3880" w14:textId="77777777" w:rsidR="001E357D" w:rsidRDefault="00B407F3" w:rsidP="003A7A13">
            <w:pPr>
              <w:suppressAutoHyphens w:val="0"/>
              <w:spacing w:before="0" w:after="0" w:line="276" w:lineRule="auto"/>
              <w:cnfStyle w:val="100000000000" w:firstRow="1" w:lastRow="0" w:firstColumn="0" w:lastColumn="0" w:oddVBand="0" w:evenVBand="0" w:oddHBand="0" w:evenHBand="0" w:firstRowFirstColumn="0" w:firstRowLastColumn="0" w:lastRowFirstColumn="0" w:lastRowLastColumn="0"/>
              <w:rPr>
                <w:rFonts w:eastAsia="Times New Roman"/>
                <w:b w:val="0"/>
                <w:bCs/>
                <w:color w:val="FFFFFF"/>
                <w:szCs w:val="22"/>
                <w:lang w:eastAsia="en-AU"/>
              </w:rPr>
            </w:pPr>
            <w:r>
              <w:rPr>
                <w:rFonts w:eastAsia="Times New Roman"/>
                <w:bCs/>
                <w:color w:val="FFFFFF"/>
                <w:szCs w:val="22"/>
                <w:lang w:eastAsia="en-AU"/>
              </w:rPr>
              <w:t>Consequence</w:t>
            </w:r>
          </w:p>
          <w:p w14:paraId="7890812B" w14:textId="4815C2DC" w:rsidR="007E4D0B" w:rsidRPr="007E4D0B" w:rsidRDefault="007E4D0B" w:rsidP="003A7A13">
            <w:pPr>
              <w:suppressAutoHyphens w:val="0"/>
              <w:spacing w:before="0" w:after="0" w:line="276" w:lineRule="auto"/>
              <w:cnfStyle w:val="100000000000" w:firstRow="1" w:lastRow="0" w:firstColumn="0" w:lastColumn="0" w:oddVBand="0" w:evenVBand="0" w:oddHBand="0" w:evenHBand="0" w:firstRowFirstColumn="0" w:firstRowLastColumn="0" w:lastRowFirstColumn="0" w:lastRowLastColumn="0"/>
              <w:rPr>
                <w:rFonts w:eastAsia="Times New Roman"/>
                <w:b w:val="0"/>
                <w:color w:val="FFFFFF"/>
                <w:szCs w:val="22"/>
                <w:lang w:eastAsia="en-AU"/>
              </w:rPr>
            </w:pPr>
            <w:r w:rsidRPr="007E4D0B">
              <w:rPr>
                <w:rFonts w:eastAsia="Times New Roman"/>
                <w:b w:val="0"/>
                <w:i/>
                <w:color w:val="FFFFFF"/>
                <w:szCs w:val="22"/>
                <w:lang w:val="en-US" w:eastAsia="en-AU"/>
              </w:rPr>
              <w:t xml:space="preserve">Teacher Provides: </w:t>
            </w:r>
            <w:r w:rsidR="008A0EAC">
              <w:rPr>
                <w:rFonts w:eastAsia="Times New Roman"/>
                <w:b w:val="0"/>
                <w:i/>
                <w:color w:val="FFFFFF"/>
                <w:szCs w:val="22"/>
                <w:lang w:val="en-US" w:eastAsia="en-AU"/>
              </w:rPr>
              <w:t>s</w:t>
            </w:r>
            <w:r w:rsidRPr="007E4D0B">
              <w:rPr>
                <w:rFonts w:eastAsia="Times New Roman"/>
                <w:b w:val="0"/>
                <w:color w:val="FFFFFF"/>
                <w:szCs w:val="22"/>
                <w:lang w:val="en-US" w:eastAsia="en-AU"/>
              </w:rPr>
              <w:t xml:space="preserve">pecific, </w:t>
            </w:r>
            <w:r w:rsidR="008A0EAC">
              <w:rPr>
                <w:rFonts w:eastAsia="Times New Roman"/>
                <w:b w:val="0"/>
                <w:color w:val="FFFFFF"/>
                <w:szCs w:val="22"/>
                <w:lang w:val="en-US" w:eastAsia="en-AU"/>
              </w:rPr>
              <w:t>p</w:t>
            </w:r>
            <w:r w:rsidRPr="007E4D0B">
              <w:rPr>
                <w:rFonts w:eastAsia="Times New Roman"/>
                <w:b w:val="0"/>
                <w:color w:val="FFFFFF"/>
                <w:szCs w:val="22"/>
                <w:lang w:val="en-US" w:eastAsia="en-AU"/>
              </w:rPr>
              <w:t xml:space="preserve">ositive </w:t>
            </w:r>
            <w:r w:rsidR="008A0EAC">
              <w:rPr>
                <w:rFonts w:eastAsia="Times New Roman"/>
                <w:b w:val="0"/>
                <w:color w:val="FFFFFF"/>
                <w:szCs w:val="22"/>
                <w:lang w:val="en-US" w:eastAsia="en-AU"/>
              </w:rPr>
              <w:t>f</w:t>
            </w:r>
            <w:r w:rsidRPr="007E4D0B">
              <w:rPr>
                <w:rFonts w:eastAsia="Times New Roman"/>
                <w:b w:val="0"/>
                <w:color w:val="FFFFFF"/>
                <w:szCs w:val="22"/>
                <w:lang w:val="en-US" w:eastAsia="en-AU"/>
              </w:rPr>
              <w:t>eedback</w:t>
            </w:r>
          </w:p>
          <w:p w14:paraId="4F317893" w14:textId="48E76E1A" w:rsidR="007E4D0B" w:rsidRPr="001E357D" w:rsidRDefault="007E4D0B" w:rsidP="003A7A13">
            <w:pPr>
              <w:suppressAutoHyphens w:val="0"/>
              <w:spacing w:before="0" w:after="0" w:line="276" w:lineRule="auto"/>
              <w:cnfStyle w:val="100000000000" w:firstRow="1" w:lastRow="0" w:firstColumn="0" w:lastColumn="0" w:oddVBand="0" w:evenVBand="0" w:oddHBand="0" w:evenHBand="0" w:firstRowFirstColumn="0" w:firstRowLastColumn="0" w:lastRowFirstColumn="0" w:lastRowLastColumn="0"/>
              <w:rPr>
                <w:rFonts w:eastAsia="Times New Roman"/>
                <w:bCs/>
                <w:color w:val="FFFFFF"/>
                <w:szCs w:val="22"/>
                <w:lang w:eastAsia="en-AU"/>
              </w:rPr>
            </w:pPr>
          </w:p>
        </w:tc>
      </w:tr>
      <w:tr w:rsidR="001478F0" w:rsidRPr="001E357D" w14:paraId="0B762763" w14:textId="77777777" w:rsidTr="0033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DD3C57F" w14:textId="77777777" w:rsidR="001E357D" w:rsidRPr="001E357D" w:rsidRDefault="001E357D" w:rsidP="003A7A13">
            <w:pPr>
              <w:suppressAutoHyphens w:val="0"/>
              <w:spacing w:before="0" w:after="0" w:line="276" w:lineRule="auto"/>
              <w:rPr>
                <w:rFonts w:eastAsia="Times New Roman"/>
                <w:b w:val="0"/>
                <w:bCs/>
                <w:szCs w:val="22"/>
                <w:lang w:eastAsia="en-AU"/>
              </w:rPr>
            </w:pPr>
            <w:r w:rsidRPr="001E357D">
              <w:rPr>
                <w:rFonts w:eastAsia="Times New Roman"/>
                <w:b w:val="0"/>
                <w:bCs/>
                <w:szCs w:val="22"/>
                <w:lang w:eastAsia="en-AU"/>
              </w:rPr>
              <w:t>Teacher distributes mini whiteboards and asks, "Write down your answer to this maths problem and hold it up."</w:t>
            </w:r>
          </w:p>
        </w:tc>
        <w:tc>
          <w:tcPr>
            <w:tcW w:w="3118" w:type="dxa"/>
            <w:hideMark/>
          </w:tcPr>
          <w:p w14:paraId="204C93B9" w14:textId="77777777" w:rsidR="001E357D" w:rsidRPr="001E357D" w:rsidRDefault="001E357D" w:rsidP="003A7A13">
            <w:pPr>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szCs w:val="22"/>
                <w:lang w:eastAsia="en-AU"/>
              </w:rPr>
            </w:pPr>
            <w:r w:rsidRPr="001E357D">
              <w:rPr>
                <w:rFonts w:eastAsia="Times New Roman"/>
                <w:szCs w:val="22"/>
                <w:lang w:eastAsia="en-AU"/>
              </w:rPr>
              <w:t>Students write their answers on the mini whiteboards and display them.</w:t>
            </w:r>
          </w:p>
        </w:tc>
        <w:tc>
          <w:tcPr>
            <w:tcW w:w="3398" w:type="dxa"/>
            <w:hideMark/>
          </w:tcPr>
          <w:p w14:paraId="34CBD9FA" w14:textId="77777777" w:rsidR="001E357D" w:rsidRPr="001E357D" w:rsidRDefault="001E357D" w:rsidP="003A7A13">
            <w:pPr>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szCs w:val="22"/>
                <w:lang w:eastAsia="en-AU"/>
              </w:rPr>
            </w:pPr>
            <w:r w:rsidRPr="001E357D">
              <w:rPr>
                <w:rFonts w:eastAsia="Times New Roman"/>
                <w:szCs w:val="22"/>
                <w:lang w:eastAsia="en-AU"/>
              </w:rPr>
              <w:t>The teacher checks responses quickly and provides immediate feedback, reinforcing correct answers and clarifying misconceptions.</w:t>
            </w:r>
          </w:p>
        </w:tc>
      </w:tr>
      <w:tr w:rsidR="001478F0" w:rsidRPr="001E357D" w14:paraId="7F036627" w14:textId="77777777" w:rsidTr="003365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ED1B317" w14:textId="77777777" w:rsidR="001E357D" w:rsidRPr="001E357D" w:rsidRDefault="001E357D" w:rsidP="003A7A13">
            <w:pPr>
              <w:suppressAutoHyphens w:val="0"/>
              <w:spacing w:before="0" w:after="0" w:line="276" w:lineRule="auto"/>
              <w:rPr>
                <w:rFonts w:eastAsia="Times New Roman"/>
                <w:b w:val="0"/>
                <w:bCs/>
                <w:szCs w:val="22"/>
                <w:lang w:eastAsia="en-AU"/>
              </w:rPr>
            </w:pPr>
            <w:r w:rsidRPr="001E357D">
              <w:rPr>
                <w:rFonts w:eastAsia="Times New Roman"/>
                <w:b w:val="0"/>
                <w:bCs/>
                <w:szCs w:val="22"/>
                <w:lang w:eastAsia="en-AU"/>
              </w:rPr>
              <w:t xml:space="preserve">Teacher prompts the class with a question, "On the count of three, everyone </w:t>
            </w:r>
            <w:proofErr w:type="gramStart"/>
            <w:r w:rsidRPr="001E357D">
              <w:rPr>
                <w:rFonts w:eastAsia="Times New Roman"/>
                <w:b w:val="0"/>
                <w:bCs/>
                <w:szCs w:val="22"/>
                <w:lang w:eastAsia="en-AU"/>
              </w:rPr>
              <w:t>say</w:t>
            </w:r>
            <w:proofErr w:type="gramEnd"/>
            <w:r w:rsidRPr="001E357D">
              <w:rPr>
                <w:rFonts w:eastAsia="Times New Roman"/>
                <w:b w:val="0"/>
                <w:bCs/>
                <w:szCs w:val="22"/>
                <w:lang w:eastAsia="en-AU"/>
              </w:rPr>
              <w:t xml:space="preserve"> the capital of Australia!"</w:t>
            </w:r>
          </w:p>
        </w:tc>
        <w:tc>
          <w:tcPr>
            <w:tcW w:w="3118" w:type="dxa"/>
            <w:hideMark/>
          </w:tcPr>
          <w:p w14:paraId="5DD0670D" w14:textId="77777777" w:rsidR="001E357D" w:rsidRPr="001E357D" w:rsidRDefault="001E357D" w:rsidP="003A7A13">
            <w:pPr>
              <w:suppressAutoHyphens w:val="0"/>
              <w:spacing w:before="0" w:after="0" w:line="276" w:lineRule="auto"/>
              <w:cnfStyle w:val="000000010000" w:firstRow="0" w:lastRow="0" w:firstColumn="0" w:lastColumn="0" w:oddVBand="0" w:evenVBand="0" w:oddHBand="0" w:evenHBand="1" w:firstRowFirstColumn="0" w:firstRowLastColumn="0" w:lastRowFirstColumn="0" w:lastRowLastColumn="0"/>
              <w:rPr>
                <w:rFonts w:eastAsia="Times New Roman"/>
                <w:szCs w:val="22"/>
                <w:lang w:eastAsia="en-AU"/>
              </w:rPr>
            </w:pPr>
            <w:r w:rsidRPr="001E357D">
              <w:rPr>
                <w:rFonts w:eastAsia="Times New Roman"/>
                <w:szCs w:val="22"/>
                <w:lang w:eastAsia="en-AU"/>
              </w:rPr>
              <w:t>Students respond in unison, "Canberra!"</w:t>
            </w:r>
          </w:p>
        </w:tc>
        <w:tc>
          <w:tcPr>
            <w:tcW w:w="3398" w:type="dxa"/>
            <w:hideMark/>
          </w:tcPr>
          <w:p w14:paraId="1F0E3491" w14:textId="77777777" w:rsidR="001E357D" w:rsidRPr="001E357D" w:rsidRDefault="001E357D" w:rsidP="003A7A13">
            <w:pPr>
              <w:suppressAutoHyphens w:val="0"/>
              <w:spacing w:before="0" w:after="0" w:line="276" w:lineRule="auto"/>
              <w:cnfStyle w:val="000000010000" w:firstRow="0" w:lastRow="0" w:firstColumn="0" w:lastColumn="0" w:oddVBand="0" w:evenVBand="0" w:oddHBand="0" w:evenHBand="1" w:firstRowFirstColumn="0" w:firstRowLastColumn="0" w:lastRowFirstColumn="0" w:lastRowLastColumn="0"/>
              <w:rPr>
                <w:rFonts w:eastAsia="Times New Roman"/>
                <w:szCs w:val="22"/>
                <w:lang w:eastAsia="en-AU"/>
              </w:rPr>
            </w:pPr>
            <w:r w:rsidRPr="001E357D">
              <w:rPr>
                <w:rFonts w:eastAsia="Times New Roman"/>
                <w:szCs w:val="22"/>
                <w:lang w:eastAsia="en-AU"/>
              </w:rPr>
              <w:t>The collective response fosters a sense of community and engagement, and the teacher praises the class for their participation.</w:t>
            </w:r>
          </w:p>
        </w:tc>
      </w:tr>
    </w:tbl>
    <w:p w14:paraId="40102569" w14:textId="2E40AE01" w:rsidR="004D0640" w:rsidRDefault="0070012A" w:rsidP="00582ACD">
      <w:pPr>
        <w:pStyle w:val="Heading2"/>
        <w:spacing w:before="160"/>
        <w:rPr>
          <w:sz w:val="28"/>
          <w:szCs w:val="40"/>
        </w:rPr>
      </w:pPr>
      <w:r w:rsidRPr="00582ACD">
        <w:rPr>
          <w:sz w:val="28"/>
          <w:szCs w:val="40"/>
        </w:rPr>
        <w:t>References</w:t>
      </w:r>
    </w:p>
    <w:p w14:paraId="186C9913" w14:textId="33F5B9B1" w:rsidR="0018144D" w:rsidRPr="00126669" w:rsidRDefault="00B704E7" w:rsidP="00582ACD">
      <w:r w:rsidRPr="00126669">
        <w:t>Berg J</w:t>
      </w:r>
      <w:r w:rsidR="00555525" w:rsidRPr="00126669">
        <w:t xml:space="preserve"> and</w:t>
      </w:r>
      <w:r w:rsidRPr="00126669">
        <w:t xml:space="preserve"> Ahlgrim-Delzell L (2020) </w:t>
      </w:r>
      <w:r w:rsidR="00D660B8" w:rsidRPr="00126669">
        <w:t>‘</w:t>
      </w:r>
      <w:r w:rsidRPr="00126669">
        <w:t>The Effects of Opportunities to Respond on Academic Engagement: A Meta-Analysis</w:t>
      </w:r>
      <w:r w:rsidR="00D660B8" w:rsidRPr="00126669">
        <w:t>’,</w:t>
      </w:r>
      <w:r w:rsidRPr="00126669">
        <w:t> </w:t>
      </w:r>
      <w:r w:rsidRPr="00126669">
        <w:rPr>
          <w:i/>
          <w:iCs/>
        </w:rPr>
        <w:t>Journal of Special Education Leadership</w:t>
      </w:r>
      <w:r w:rsidRPr="00126669">
        <w:t>, 33(1), 20-29.</w:t>
      </w:r>
    </w:p>
    <w:p w14:paraId="3112B54E" w14:textId="0DBB7779" w:rsidR="00B704E7" w:rsidRPr="00126669" w:rsidRDefault="00B704E7" w:rsidP="00582ACD">
      <w:r w:rsidRPr="00126669">
        <w:t>Carter D</w:t>
      </w:r>
      <w:r w:rsidR="00555525" w:rsidRPr="00126669">
        <w:t xml:space="preserve"> and</w:t>
      </w:r>
      <w:r w:rsidRPr="00126669">
        <w:t xml:space="preserve"> O'Rourke J (2018) </w:t>
      </w:r>
      <w:r w:rsidR="00D660B8" w:rsidRPr="00126669">
        <w:t>‘</w:t>
      </w:r>
      <w:r w:rsidRPr="00126669">
        <w:t>Opportunities to Respond: A Review of the Research and Implications for Practice</w:t>
      </w:r>
      <w:r w:rsidR="00D660B8" w:rsidRPr="00126669">
        <w:t>’,</w:t>
      </w:r>
      <w:r w:rsidRPr="00126669">
        <w:t> </w:t>
      </w:r>
      <w:r w:rsidRPr="00126669">
        <w:rPr>
          <w:i/>
          <w:iCs/>
        </w:rPr>
        <w:t>School Psychology Quarterly</w:t>
      </w:r>
      <w:r w:rsidRPr="00126669">
        <w:t>, 33(3), 441-452.</w:t>
      </w:r>
    </w:p>
    <w:p w14:paraId="0BEF2DD1" w14:textId="70197DA7" w:rsidR="00B704E7" w:rsidRPr="00126669" w:rsidRDefault="00B704E7" w:rsidP="00582ACD">
      <w:r w:rsidRPr="00126669">
        <w:t>Hattie J (2021) </w:t>
      </w:r>
      <w:r w:rsidRPr="00126669">
        <w:rPr>
          <w:i/>
          <w:iCs/>
        </w:rPr>
        <w:t>Visible Learning for Mathematics, Grades K-12</w:t>
      </w:r>
      <w:r w:rsidR="00126669" w:rsidRPr="00126669">
        <w:t>,</w:t>
      </w:r>
      <w:r w:rsidRPr="00126669">
        <w:t xml:space="preserve"> Corwin.</w:t>
      </w:r>
    </w:p>
    <w:p w14:paraId="68BA1F42" w14:textId="114117C2" w:rsidR="009C0375" w:rsidRPr="00126669" w:rsidRDefault="009C0375" w:rsidP="00582ACD">
      <w:r w:rsidRPr="00126669">
        <w:t>Heward W (2019) </w:t>
      </w:r>
      <w:r w:rsidRPr="00126669">
        <w:rPr>
          <w:i/>
          <w:iCs/>
        </w:rPr>
        <w:t>Exceptional Children: An Introduction to Special Education</w:t>
      </w:r>
      <w:r w:rsidRPr="00126669">
        <w:t> (10th ed.)</w:t>
      </w:r>
      <w:r w:rsidR="00126669" w:rsidRPr="00126669">
        <w:t>,</w:t>
      </w:r>
      <w:r w:rsidRPr="00126669">
        <w:t xml:space="preserve"> Pearson.</w:t>
      </w:r>
    </w:p>
    <w:p w14:paraId="2493C6C3" w14:textId="35E0C7BE" w:rsidR="00D60DF8" w:rsidRPr="00126669" w:rsidRDefault="00D60DF8" w:rsidP="00582ACD">
      <w:r w:rsidRPr="00126669">
        <w:t xml:space="preserve">Missouri Schoolwide Positive </w:t>
      </w:r>
      <w:proofErr w:type="spellStart"/>
      <w:r w:rsidRPr="00126669">
        <w:t>Behavior</w:t>
      </w:r>
      <w:proofErr w:type="spellEnd"/>
      <w:r w:rsidRPr="00126669">
        <w:t xml:space="preserve"> Support (2018) https://pbismissouri.org/wp-content/uploads/2018/05/MO-SW-PBS-Tier-1-2018.pdf</w:t>
      </w:r>
    </w:p>
    <w:p w14:paraId="30D38130" w14:textId="3C9DC1F9" w:rsidR="009C0375" w:rsidRPr="00126669" w:rsidRDefault="009C0375" w:rsidP="00582ACD">
      <w:r w:rsidRPr="00126669">
        <w:t>Sutherland K</w:t>
      </w:r>
      <w:r w:rsidR="00126669" w:rsidRPr="00126669">
        <w:t xml:space="preserve"> and</w:t>
      </w:r>
      <w:r w:rsidRPr="00126669">
        <w:t xml:space="preserve"> Snyder A (2021) </w:t>
      </w:r>
      <w:r w:rsidR="00126669" w:rsidRPr="00126669">
        <w:t>‘</w:t>
      </w:r>
      <w:r w:rsidRPr="00126669">
        <w:t>Increasing Student Engagement Through Opportunities to Respond: A Review of the Literature</w:t>
      </w:r>
      <w:r w:rsidR="00126669" w:rsidRPr="00126669">
        <w:t>’</w:t>
      </w:r>
      <w:r w:rsidRPr="00126669">
        <w:t>.</w:t>
      </w:r>
    </w:p>
    <w:sectPr w:rsidR="009C0375" w:rsidRPr="00126669" w:rsidSect="00CC1B1D">
      <w:footerReference w:type="default" r:id="rId11"/>
      <w:headerReference w:type="first" r:id="rId12"/>
      <w:footerReference w:type="first" r:id="rId13"/>
      <w:pgSz w:w="11906" w:h="16838"/>
      <w:pgMar w:top="1134" w:right="1134" w:bottom="1134"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4F37" w14:textId="77777777" w:rsidR="00F259FD" w:rsidRDefault="00F259FD" w:rsidP="00843DF5">
      <w:r>
        <w:separator/>
      </w:r>
    </w:p>
    <w:p w14:paraId="7698A4FA" w14:textId="77777777" w:rsidR="00F259FD" w:rsidRDefault="00F259FD" w:rsidP="00843DF5"/>
    <w:p w14:paraId="58FE0D45" w14:textId="77777777" w:rsidR="00F259FD" w:rsidRDefault="00F259FD" w:rsidP="00843DF5"/>
  </w:endnote>
  <w:endnote w:type="continuationSeparator" w:id="0">
    <w:p w14:paraId="072BEB2E" w14:textId="77777777" w:rsidR="00F259FD" w:rsidRDefault="00F259FD" w:rsidP="00843DF5">
      <w:r>
        <w:continuationSeparator/>
      </w:r>
    </w:p>
    <w:p w14:paraId="3AE9F2B1" w14:textId="77777777" w:rsidR="00F259FD" w:rsidRDefault="00F259FD" w:rsidP="00843DF5"/>
    <w:p w14:paraId="3C1045DF" w14:textId="77777777" w:rsidR="00F259FD" w:rsidRDefault="00F259FD" w:rsidP="00843DF5"/>
  </w:endnote>
  <w:endnote w:type="continuationNotice" w:id="1">
    <w:p w14:paraId="7C89C35E" w14:textId="77777777" w:rsidR="00F259FD" w:rsidRDefault="00F259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D3C0" w14:textId="77777777" w:rsidR="00747F82" w:rsidRPr="00CF782B" w:rsidRDefault="00747F82" w:rsidP="00747F82">
    <w:pPr>
      <w:pStyle w:val="HeaderFooterSensitivityLabelSpace"/>
      <w:spacing w:before="0" w:after="0"/>
      <w:rPr>
        <w:rFonts w:ascii="Public Sans Light" w:hAnsi="Public Sans Light" w:cs="Times New Roman"/>
      </w:rPr>
    </w:pPr>
    <w:r w:rsidRPr="00CF782B">
      <w:rPr>
        <w:rFonts w:ascii="Public Sans Light" w:hAnsi="Public Sans Light" w:cs="Times New Roman"/>
      </w:rPr>
      <w:t>PBL - Tier 1 Classroom systems</w:t>
    </w:r>
  </w:p>
  <w:p w14:paraId="728E4576" w14:textId="77777777" w:rsidR="00747F82" w:rsidRPr="00CF782B" w:rsidRDefault="00747F82" w:rsidP="00747F82">
    <w:pPr>
      <w:pStyle w:val="Footer"/>
      <w:spacing w:before="0"/>
      <w:rPr>
        <w:rFonts w:ascii="Public Sans Light" w:hAnsi="Public Sans Light"/>
      </w:rPr>
    </w:pPr>
    <w:r w:rsidRPr="00CF782B">
      <w:rPr>
        <w:rFonts w:ascii="Public Sans Light" w:hAnsi="Public Sans Light"/>
      </w:rPr>
      <w:t>Factsheet</w:t>
    </w:r>
    <w:r>
      <w:rPr>
        <w:rFonts w:ascii="Public Sans Light" w:hAnsi="Public Sans Light"/>
      </w:rPr>
      <w:t xml:space="preserve"> – Multiple opportunities to respond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8332" w14:textId="3BD10987" w:rsidR="00CF782B" w:rsidRPr="00CF782B" w:rsidRDefault="00CF782B" w:rsidP="00747F82">
    <w:pPr>
      <w:pStyle w:val="HeaderFooterSensitivityLabelSpace"/>
      <w:spacing w:before="0" w:after="0"/>
      <w:rPr>
        <w:rFonts w:ascii="Public Sans Light" w:hAnsi="Public Sans Light" w:cs="Times New Roman"/>
      </w:rPr>
    </w:pPr>
    <w:r w:rsidRPr="00CF782B">
      <w:rPr>
        <w:rFonts w:ascii="Public Sans Light" w:hAnsi="Public Sans Light" w:cs="Times New Roman"/>
      </w:rPr>
      <w:t>PBL - Tier 1 Classroom systems</w:t>
    </w:r>
  </w:p>
  <w:p w14:paraId="0EC74CD1" w14:textId="417F9403" w:rsidR="00550823" w:rsidRPr="00CF782B" w:rsidRDefault="00CF782B" w:rsidP="00747F82">
    <w:pPr>
      <w:pStyle w:val="Footer"/>
      <w:spacing w:before="0"/>
      <w:rPr>
        <w:rFonts w:ascii="Public Sans Light" w:hAnsi="Public Sans Light"/>
      </w:rPr>
    </w:pPr>
    <w:r w:rsidRPr="00CF782B">
      <w:rPr>
        <w:rFonts w:ascii="Public Sans Light" w:hAnsi="Public Sans Light"/>
      </w:rPr>
      <w:t>Factsheet</w:t>
    </w:r>
    <w:r>
      <w:rPr>
        <w:rFonts w:ascii="Public Sans Light" w:hAnsi="Public Sans Light"/>
      </w:rPr>
      <w:t xml:space="preserve"> </w:t>
    </w:r>
    <w:r w:rsidR="00747F82">
      <w:rPr>
        <w:rFonts w:ascii="Public Sans Light" w:hAnsi="Public Sans Light"/>
      </w:rPr>
      <w:t>–</w:t>
    </w:r>
    <w:r>
      <w:rPr>
        <w:rFonts w:ascii="Public Sans Light" w:hAnsi="Public Sans Light"/>
      </w:rPr>
      <w:t xml:space="preserve"> </w:t>
    </w:r>
    <w:r w:rsidR="00747F82">
      <w:rPr>
        <w:rFonts w:ascii="Public Sans Light" w:hAnsi="Public Sans Light"/>
      </w:rPr>
      <w:t>Multiple opportunities to respond</w:t>
    </w:r>
  </w:p>
  <w:p w14:paraId="30235C72" w14:textId="77777777" w:rsidR="00550823" w:rsidRDefault="0055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1B26E" w14:textId="77777777" w:rsidR="00F259FD" w:rsidRDefault="00F259FD" w:rsidP="00843DF5">
      <w:r>
        <w:separator/>
      </w:r>
    </w:p>
    <w:p w14:paraId="0E172B90" w14:textId="77777777" w:rsidR="00F259FD" w:rsidRDefault="00F259FD" w:rsidP="00843DF5"/>
    <w:p w14:paraId="29EEE1B2" w14:textId="77777777" w:rsidR="00F259FD" w:rsidRDefault="00F259FD" w:rsidP="00843DF5"/>
  </w:footnote>
  <w:footnote w:type="continuationSeparator" w:id="0">
    <w:p w14:paraId="7ACCC2E8" w14:textId="77777777" w:rsidR="00F259FD" w:rsidRDefault="00F259FD" w:rsidP="00843DF5">
      <w:r>
        <w:continuationSeparator/>
      </w:r>
    </w:p>
    <w:p w14:paraId="1C5E3FC3" w14:textId="77777777" w:rsidR="00F259FD" w:rsidRDefault="00F259FD" w:rsidP="00843DF5"/>
    <w:p w14:paraId="66C0CA85" w14:textId="77777777" w:rsidR="00F259FD" w:rsidRDefault="00F259FD" w:rsidP="00843DF5"/>
  </w:footnote>
  <w:footnote w:type="continuationNotice" w:id="1">
    <w:p w14:paraId="0D1AA779" w14:textId="77777777" w:rsidR="00F259FD" w:rsidRDefault="00F259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6863" w14:textId="77777777" w:rsidR="00CC1B1D" w:rsidRPr="00FA6449" w:rsidRDefault="00CC1B1D" w:rsidP="00CC1B1D">
    <w:pPr>
      <w:pStyle w:val="Header"/>
    </w:pPr>
    <w:r w:rsidRPr="009D43DD">
      <mc:AlternateContent>
        <mc:Choice Requires="wps">
          <w:drawing>
            <wp:anchor distT="0" distB="0" distL="114300" distR="114300" simplePos="0" relativeHeight="251658240" behindDoc="1" locked="0" layoutInCell="1" allowOverlap="1" wp14:anchorId="44569CD2" wp14:editId="18EA2B86">
              <wp:simplePos x="0" y="0"/>
              <wp:positionH relativeFrom="column">
                <wp:posOffset>-2539365</wp:posOffset>
              </wp:positionH>
              <wp:positionV relativeFrom="paragraph">
                <wp:posOffset>-445770</wp:posOffset>
              </wp:positionV>
              <wp:extent cx="12587844" cy="2257425"/>
              <wp:effectExtent l="0" t="0" r="4445"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257425"/>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CFD9F4" w14:textId="77777777" w:rsidR="00CC1B1D" w:rsidRDefault="00CC1B1D" w:rsidP="00CC1B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69CD2" id="Rectangle 6" o:spid="_x0000_s1026" alt="&quot;&quot;" style="position:absolute;margin-left:-199.95pt;margin-top:-35.1pt;width:991.15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" fillcolor="#cbedfd" stroked="f" strokeweight="1pt">
              <v:textbox>
                <w:txbxContent>
                  <w:p w14:paraId="77CFD9F4" w14:textId="77777777" w:rsidR="00CC1B1D" w:rsidRDefault="00CC1B1D" w:rsidP="00CC1B1D"/>
                </w:txbxContent>
              </v:textbox>
            </v:rect>
          </w:pict>
        </mc:Fallback>
      </mc:AlternateContent>
    </w:r>
    <w:r w:rsidRPr="009D43DD">
      <w:t>NSW Department of Education</w:t>
    </w:r>
    <w:r w:rsidRPr="009D43DD">
      <w:ptab w:relativeTo="margin" w:alignment="right" w:leader="none"/>
    </w:r>
    <w:r w:rsidRPr="008426B6">
      <w:drawing>
        <wp:inline distT="0" distB="0" distL="0" distR="0" wp14:anchorId="08C0E97A" wp14:editId="6BC9B0AE">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05B08A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E1CE4"/>
    <w:multiLevelType w:val="hybridMultilevel"/>
    <w:tmpl w:val="22CEA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C42A27"/>
    <w:multiLevelType w:val="multilevel"/>
    <w:tmpl w:val="BD32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832038"/>
    <w:multiLevelType w:val="hybridMultilevel"/>
    <w:tmpl w:val="87568844"/>
    <w:lvl w:ilvl="0" w:tplc="DCBCA684">
      <w:start w:val="1"/>
      <w:numFmt w:val="bullet"/>
      <w:lvlText w:val="o"/>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163E9B"/>
    <w:multiLevelType w:val="hybridMultilevel"/>
    <w:tmpl w:val="7332B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010369"/>
    <w:multiLevelType w:val="hybridMultilevel"/>
    <w:tmpl w:val="E3E67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D1612F"/>
    <w:multiLevelType w:val="hybridMultilevel"/>
    <w:tmpl w:val="0990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6"/>
  </w:num>
  <w:num w:numId="6" w16cid:durableId="786628628">
    <w:abstractNumId w:val="13"/>
  </w:num>
  <w:num w:numId="7" w16cid:durableId="1593784630">
    <w:abstractNumId w:val="0"/>
  </w:num>
  <w:num w:numId="8" w16cid:durableId="564150515">
    <w:abstractNumId w:val="7"/>
  </w:num>
  <w:num w:numId="9" w16cid:durableId="1131367355">
    <w:abstractNumId w:val="3"/>
  </w:num>
  <w:num w:numId="10" w16cid:durableId="30941093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6"/>
  </w:num>
  <w:num w:numId="13" w16cid:durableId="1573587274">
    <w:abstractNumId w:val="13"/>
  </w:num>
  <w:num w:numId="14" w16cid:durableId="418411962">
    <w:abstractNumId w:val="0"/>
  </w:num>
  <w:num w:numId="15" w16cid:durableId="218444211">
    <w:abstractNumId w:val="7"/>
  </w:num>
  <w:num w:numId="16" w16cid:durableId="213498078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6"/>
  </w:num>
  <w:num w:numId="19" w16cid:durableId="2063823009">
    <w:abstractNumId w:val="13"/>
  </w:num>
  <w:num w:numId="20" w16cid:durableId="814376409">
    <w:abstractNumId w:val="0"/>
  </w:num>
  <w:num w:numId="21" w16cid:durableId="210728029">
    <w:abstractNumId w:val="7"/>
  </w:num>
  <w:num w:numId="22" w16cid:durableId="330136967">
    <w:abstractNumId w:val="7"/>
  </w:num>
  <w:num w:numId="23" w16cid:durableId="2052731404">
    <w:abstractNumId w:val="7"/>
  </w:num>
  <w:num w:numId="24" w16cid:durableId="1077481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2"/>
  </w:num>
  <w:num w:numId="27" w16cid:durableId="1643078843">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6"/>
  </w:num>
  <w:num w:numId="30" w16cid:durableId="1821271063">
    <w:abstractNumId w:val="13"/>
  </w:num>
  <w:num w:numId="31" w16cid:durableId="553279822">
    <w:abstractNumId w:val="13"/>
  </w:num>
  <w:num w:numId="32" w16cid:durableId="1078748039">
    <w:abstractNumId w:val="7"/>
  </w:num>
  <w:num w:numId="33" w16cid:durableId="8481312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6"/>
  </w:num>
  <w:num w:numId="36" w16cid:durableId="623849285">
    <w:abstractNumId w:val="13"/>
  </w:num>
  <w:num w:numId="37" w16cid:durableId="866799919">
    <w:abstractNumId w:val="13"/>
  </w:num>
  <w:num w:numId="38" w16cid:durableId="1045637855">
    <w:abstractNumId w:val="7"/>
  </w:num>
  <w:num w:numId="39" w16cid:durableId="1886142267">
    <w:abstractNumId w:val="11"/>
  </w:num>
  <w:num w:numId="40" w16cid:durableId="1387341953">
    <w:abstractNumId w:val="4"/>
  </w:num>
  <w:num w:numId="41" w16cid:durableId="745997981">
    <w:abstractNumId w:val="10"/>
  </w:num>
  <w:num w:numId="42" w16cid:durableId="1694262803">
    <w:abstractNumId w:val="9"/>
  </w:num>
  <w:num w:numId="43" w16cid:durableId="1045373140">
    <w:abstractNumId w:val="5"/>
  </w:num>
  <w:num w:numId="44" w16cid:durableId="65872870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EFA"/>
    <w:rsid w:val="00004183"/>
    <w:rsid w:val="000077BF"/>
    <w:rsid w:val="00012285"/>
    <w:rsid w:val="00013FF2"/>
    <w:rsid w:val="00017B07"/>
    <w:rsid w:val="000252CB"/>
    <w:rsid w:val="000257A4"/>
    <w:rsid w:val="000345C8"/>
    <w:rsid w:val="000345CD"/>
    <w:rsid w:val="000357BA"/>
    <w:rsid w:val="00036122"/>
    <w:rsid w:val="00042EC1"/>
    <w:rsid w:val="00045F0D"/>
    <w:rsid w:val="0004750C"/>
    <w:rsid w:val="00047862"/>
    <w:rsid w:val="00051080"/>
    <w:rsid w:val="00054D26"/>
    <w:rsid w:val="000562B1"/>
    <w:rsid w:val="00061D5B"/>
    <w:rsid w:val="00066BEA"/>
    <w:rsid w:val="000673B7"/>
    <w:rsid w:val="00070384"/>
    <w:rsid w:val="00070804"/>
    <w:rsid w:val="00072E86"/>
    <w:rsid w:val="000733A1"/>
    <w:rsid w:val="00074F0F"/>
    <w:rsid w:val="000769CC"/>
    <w:rsid w:val="00082216"/>
    <w:rsid w:val="00085693"/>
    <w:rsid w:val="000C1B93"/>
    <w:rsid w:val="000C24ED"/>
    <w:rsid w:val="000C4344"/>
    <w:rsid w:val="000C5481"/>
    <w:rsid w:val="000D0CAC"/>
    <w:rsid w:val="000D1EB7"/>
    <w:rsid w:val="000D3BBE"/>
    <w:rsid w:val="000D7466"/>
    <w:rsid w:val="000D7E5E"/>
    <w:rsid w:val="000E5FE1"/>
    <w:rsid w:val="000F075A"/>
    <w:rsid w:val="000F245A"/>
    <w:rsid w:val="00103E4F"/>
    <w:rsid w:val="00105FE7"/>
    <w:rsid w:val="00112528"/>
    <w:rsid w:val="00113093"/>
    <w:rsid w:val="00122956"/>
    <w:rsid w:val="00123A38"/>
    <w:rsid w:val="00125A8E"/>
    <w:rsid w:val="00125DFF"/>
    <w:rsid w:val="0012654C"/>
    <w:rsid w:val="00126669"/>
    <w:rsid w:val="001478F0"/>
    <w:rsid w:val="00153D13"/>
    <w:rsid w:val="00160AEC"/>
    <w:rsid w:val="001613E4"/>
    <w:rsid w:val="0017408C"/>
    <w:rsid w:val="00177960"/>
    <w:rsid w:val="0018144D"/>
    <w:rsid w:val="00181F54"/>
    <w:rsid w:val="00190C6F"/>
    <w:rsid w:val="001A2D64"/>
    <w:rsid w:val="001A3009"/>
    <w:rsid w:val="001C0997"/>
    <w:rsid w:val="001C74F3"/>
    <w:rsid w:val="001C7E97"/>
    <w:rsid w:val="001D5230"/>
    <w:rsid w:val="001E103F"/>
    <w:rsid w:val="001E3497"/>
    <w:rsid w:val="001E357D"/>
    <w:rsid w:val="001E4EDE"/>
    <w:rsid w:val="001E666F"/>
    <w:rsid w:val="001E761A"/>
    <w:rsid w:val="001F0946"/>
    <w:rsid w:val="001F2668"/>
    <w:rsid w:val="001F2D78"/>
    <w:rsid w:val="001F5BF6"/>
    <w:rsid w:val="001F5F7B"/>
    <w:rsid w:val="002075BD"/>
    <w:rsid w:val="002105AD"/>
    <w:rsid w:val="00216244"/>
    <w:rsid w:val="0021715A"/>
    <w:rsid w:val="002178F4"/>
    <w:rsid w:val="002227AD"/>
    <w:rsid w:val="002300CD"/>
    <w:rsid w:val="00242D98"/>
    <w:rsid w:val="002436BD"/>
    <w:rsid w:val="0024474D"/>
    <w:rsid w:val="00246476"/>
    <w:rsid w:val="00246AE9"/>
    <w:rsid w:val="0025592F"/>
    <w:rsid w:val="00257957"/>
    <w:rsid w:val="0026327B"/>
    <w:rsid w:val="0026548C"/>
    <w:rsid w:val="00266207"/>
    <w:rsid w:val="0027370C"/>
    <w:rsid w:val="00274BBC"/>
    <w:rsid w:val="002A28B4"/>
    <w:rsid w:val="002A2B8C"/>
    <w:rsid w:val="002A30D8"/>
    <w:rsid w:val="002A35CF"/>
    <w:rsid w:val="002A475D"/>
    <w:rsid w:val="002A6956"/>
    <w:rsid w:val="002B316A"/>
    <w:rsid w:val="002B50F2"/>
    <w:rsid w:val="002B75C4"/>
    <w:rsid w:val="002C1F31"/>
    <w:rsid w:val="002C3F6E"/>
    <w:rsid w:val="002D503A"/>
    <w:rsid w:val="002F4501"/>
    <w:rsid w:val="002F7CFE"/>
    <w:rsid w:val="00302680"/>
    <w:rsid w:val="00303085"/>
    <w:rsid w:val="00306C23"/>
    <w:rsid w:val="00331EAD"/>
    <w:rsid w:val="003355E2"/>
    <w:rsid w:val="003365A3"/>
    <w:rsid w:val="00340DD9"/>
    <w:rsid w:val="00360E17"/>
    <w:rsid w:val="0036194A"/>
    <w:rsid w:val="0036209C"/>
    <w:rsid w:val="00362418"/>
    <w:rsid w:val="00371F68"/>
    <w:rsid w:val="0038536D"/>
    <w:rsid w:val="00385DFB"/>
    <w:rsid w:val="003930E1"/>
    <w:rsid w:val="00397791"/>
    <w:rsid w:val="003A0CFB"/>
    <w:rsid w:val="003A5190"/>
    <w:rsid w:val="003A7A13"/>
    <w:rsid w:val="003B0768"/>
    <w:rsid w:val="003B240E"/>
    <w:rsid w:val="003B3E41"/>
    <w:rsid w:val="003B5701"/>
    <w:rsid w:val="003C26F9"/>
    <w:rsid w:val="003C697A"/>
    <w:rsid w:val="003D13EF"/>
    <w:rsid w:val="003D1F70"/>
    <w:rsid w:val="003E334C"/>
    <w:rsid w:val="003F0AC3"/>
    <w:rsid w:val="003F5A78"/>
    <w:rsid w:val="003F6E52"/>
    <w:rsid w:val="003F7459"/>
    <w:rsid w:val="00400ACE"/>
    <w:rsid w:val="00400CB7"/>
    <w:rsid w:val="00401084"/>
    <w:rsid w:val="00403836"/>
    <w:rsid w:val="00407163"/>
    <w:rsid w:val="00407CAD"/>
    <w:rsid w:val="00407EF0"/>
    <w:rsid w:val="00410B53"/>
    <w:rsid w:val="00412F2B"/>
    <w:rsid w:val="004178B3"/>
    <w:rsid w:val="004241CC"/>
    <w:rsid w:val="00430173"/>
    <w:rsid w:val="00430D8B"/>
    <w:rsid w:val="00430F12"/>
    <w:rsid w:val="00431714"/>
    <w:rsid w:val="00434D0C"/>
    <w:rsid w:val="004353A7"/>
    <w:rsid w:val="004371E1"/>
    <w:rsid w:val="004417F2"/>
    <w:rsid w:val="00442345"/>
    <w:rsid w:val="00453EC1"/>
    <w:rsid w:val="00454159"/>
    <w:rsid w:val="00456066"/>
    <w:rsid w:val="004662AB"/>
    <w:rsid w:val="00474E4B"/>
    <w:rsid w:val="00480185"/>
    <w:rsid w:val="0048642E"/>
    <w:rsid w:val="00487D20"/>
    <w:rsid w:val="00491389"/>
    <w:rsid w:val="004A29D0"/>
    <w:rsid w:val="004A3EF2"/>
    <w:rsid w:val="004B13C5"/>
    <w:rsid w:val="004B484F"/>
    <w:rsid w:val="004B723A"/>
    <w:rsid w:val="004C11A9"/>
    <w:rsid w:val="004C4B48"/>
    <w:rsid w:val="004C68E7"/>
    <w:rsid w:val="004D0640"/>
    <w:rsid w:val="004E1043"/>
    <w:rsid w:val="004E7AC5"/>
    <w:rsid w:val="004E7ED2"/>
    <w:rsid w:val="004F2AC5"/>
    <w:rsid w:val="004F48DD"/>
    <w:rsid w:val="004F6AF2"/>
    <w:rsid w:val="00511863"/>
    <w:rsid w:val="005128E7"/>
    <w:rsid w:val="00526795"/>
    <w:rsid w:val="005370E2"/>
    <w:rsid w:val="00541FBB"/>
    <w:rsid w:val="0054464B"/>
    <w:rsid w:val="005500B1"/>
    <w:rsid w:val="00550823"/>
    <w:rsid w:val="00555525"/>
    <w:rsid w:val="005608F0"/>
    <w:rsid w:val="00560CDF"/>
    <w:rsid w:val="005649D2"/>
    <w:rsid w:val="005651B7"/>
    <w:rsid w:val="005679E7"/>
    <w:rsid w:val="0057085F"/>
    <w:rsid w:val="0058102D"/>
    <w:rsid w:val="00582ACD"/>
    <w:rsid w:val="00583731"/>
    <w:rsid w:val="005934B4"/>
    <w:rsid w:val="005957FA"/>
    <w:rsid w:val="00597644"/>
    <w:rsid w:val="005A0239"/>
    <w:rsid w:val="005A2BA4"/>
    <w:rsid w:val="005A34D4"/>
    <w:rsid w:val="005A67CA"/>
    <w:rsid w:val="005B184F"/>
    <w:rsid w:val="005B2BB9"/>
    <w:rsid w:val="005B4892"/>
    <w:rsid w:val="005B4B00"/>
    <w:rsid w:val="005B57F5"/>
    <w:rsid w:val="005B676D"/>
    <w:rsid w:val="005B76BC"/>
    <w:rsid w:val="005B77E0"/>
    <w:rsid w:val="005C14A7"/>
    <w:rsid w:val="005C344B"/>
    <w:rsid w:val="005D0140"/>
    <w:rsid w:val="005D1384"/>
    <w:rsid w:val="005D49FE"/>
    <w:rsid w:val="005E1F63"/>
    <w:rsid w:val="005E4DB6"/>
    <w:rsid w:val="005F1B7E"/>
    <w:rsid w:val="005F2E67"/>
    <w:rsid w:val="005F49D6"/>
    <w:rsid w:val="00600880"/>
    <w:rsid w:val="00602EC7"/>
    <w:rsid w:val="00607DF0"/>
    <w:rsid w:val="00613017"/>
    <w:rsid w:val="00624D13"/>
    <w:rsid w:val="00626BBF"/>
    <w:rsid w:val="00627A57"/>
    <w:rsid w:val="006368D9"/>
    <w:rsid w:val="0064273E"/>
    <w:rsid w:val="00643CC4"/>
    <w:rsid w:val="006569BC"/>
    <w:rsid w:val="00660B79"/>
    <w:rsid w:val="0066345F"/>
    <w:rsid w:val="00677835"/>
    <w:rsid w:val="00680388"/>
    <w:rsid w:val="00681F30"/>
    <w:rsid w:val="00691121"/>
    <w:rsid w:val="006928D7"/>
    <w:rsid w:val="0069617A"/>
    <w:rsid w:val="00696410"/>
    <w:rsid w:val="006A046F"/>
    <w:rsid w:val="006A3884"/>
    <w:rsid w:val="006B3488"/>
    <w:rsid w:val="006D00B0"/>
    <w:rsid w:val="006D1CF3"/>
    <w:rsid w:val="006D3034"/>
    <w:rsid w:val="006D6820"/>
    <w:rsid w:val="006E4620"/>
    <w:rsid w:val="006E54D3"/>
    <w:rsid w:val="006F1AA9"/>
    <w:rsid w:val="006F1CF4"/>
    <w:rsid w:val="006F2984"/>
    <w:rsid w:val="0070012A"/>
    <w:rsid w:val="00717237"/>
    <w:rsid w:val="00722C3D"/>
    <w:rsid w:val="0072638E"/>
    <w:rsid w:val="00732DE3"/>
    <w:rsid w:val="00733F8C"/>
    <w:rsid w:val="00734E89"/>
    <w:rsid w:val="00747F82"/>
    <w:rsid w:val="00752D79"/>
    <w:rsid w:val="00752ED5"/>
    <w:rsid w:val="00755053"/>
    <w:rsid w:val="007564F8"/>
    <w:rsid w:val="00763A31"/>
    <w:rsid w:val="0076669D"/>
    <w:rsid w:val="00766D19"/>
    <w:rsid w:val="00767CA4"/>
    <w:rsid w:val="00773CDB"/>
    <w:rsid w:val="0079523E"/>
    <w:rsid w:val="00796499"/>
    <w:rsid w:val="007A25F2"/>
    <w:rsid w:val="007A553B"/>
    <w:rsid w:val="007B020C"/>
    <w:rsid w:val="007B4058"/>
    <w:rsid w:val="007B523A"/>
    <w:rsid w:val="007C2DDA"/>
    <w:rsid w:val="007C33A9"/>
    <w:rsid w:val="007C4870"/>
    <w:rsid w:val="007C5D33"/>
    <w:rsid w:val="007C61E6"/>
    <w:rsid w:val="007C63BB"/>
    <w:rsid w:val="007D56C3"/>
    <w:rsid w:val="007D7436"/>
    <w:rsid w:val="007E20E5"/>
    <w:rsid w:val="007E4D0B"/>
    <w:rsid w:val="007E6A58"/>
    <w:rsid w:val="007F066A"/>
    <w:rsid w:val="007F27F8"/>
    <w:rsid w:val="007F6BE6"/>
    <w:rsid w:val="00801971"/>
    <w:rsid w:val="0080248A"/>
    <w:rsid w:val="00804F58"/>
    <w:rsid w:val="00806ECB"/>
    <w:rsid w:val="00807006"/>
    <w:rsid w:val="008073B1"/>
    <w:rsid w:val="00810D93"/>
    <w:rsid w:val="00813A43"/>
    <w:rsid w:val="008218AF"/>
    <w:rsid w:val="00824272"/>
    <w:rsid w:val="008242EB"/>
    <w:rsid w:val="008245D6"/>
    <w:rsid w:val="00824B06"/>
    <w:rsid w:val="00824F5A"/>
    <w:rsid w:val="00836838"/>
    <w:rsid w:val="00840DA5"/>
    <w:rsid w:val="008426B6"/>
    <w:rsid w:val="00843DF5"/>
    <w:rsid w:val="00844C43"/>
    <w:rsid w:val="00851E0A"/>
    <w:rsid w:val="00854AE7"/>
    <w:rsid w:val="008559F3"/>
    <w:rsid w:val="00856CA3"/>
    <w:rsid w:val="00864528"/>
    <w:rsid w:val="00865BC1"/>
    <w:rsid w:val="0087496A"/>
    <w:rsid w:val="00877024"/>
    <w:rsid w:val="00877D9A"/>
    <w:rsid w:val="00881ED0"/>
    <w:rsid w:val="00885E70"/>
    <w:rsid w:val="00890EEE"/>
    <w:rsid w:val="0089316E"/>
    <w:rsid w:val="008A03A5"/>
    <w:rsid w:val="008A0EAC"/>
    <w:rsid w:val="008A353C"/>
    <w:rsid w:val="008A4CF6"/>
    <w:rsid w:val="008A7B70"/>
    <w:rsid w:val="008B1946"/>
    <w:rsid w:val="008B2C0B"/>
    <w:rsid w:val="008C0885"/>
    <w:rsid w:val="008D5C37"/>
    <w:rsid w:val="008D674A"/>
    <w:rsid w:val="008E2D9A"/>
    <w:rsid w:val="008E3DE9"/>
    <w:rsid w:val="008E4E66"/>
    <w:rsid w:val="008E6AAB"/>
    <w:rsid w:val="008F02B7"/>
    <w:rsid w:val="009107ED"/>
    <w:rsid w:val="009138BF"/>
    <w:rsid w:val="00915B46"/>
    <w:rsid w:val="009165A4"/>
    <w:rsid w:val="00921FDC"/>
    <w:rsid w:val="00933D85"/>
    <w:rsid w:val="0093679E"/>
    <w:rsid w:val="00941947"/>
    <w:rsid w:val="0094511B"/>
    <w:rsid w:val="00945B9D"/>
    <w:rsid w:val="009560E5"/>
    <w:rsid w:val="0097042E"/>
    <w:rsid w:val="009739C8"/>
    <w:rsid w:val="009744B5"/>
    <w:rsid w:val="00982157"/>
    <w:rsid w:val="009828D7"/>
    <w:rsid w:val="00983806"/>
    <w:rsid w:val="0099399A"/>
    <w:rsid w:val="00993C4E"/>
    <w:rsid w:val="00995C6E"/>
    <w:rsid w:val="009B1280"/>
    <w:rsid w:val="009B30B1"/>
    <w:rsid w:val="009B3D61"/>
    <w:rsid w:val="009C0375"/>
    <w:rsid w:val="009C2DB5"/>
    <w:rsid w:val="009C5B0E"/>
    <w:rsid w:val="009D43DD"/>
    <w:rsid w:val="009E6A47"/>
    <w:rsid w:val="009E6FBE"/>
    <w:rsid w:val="00A051E8"/>
    <w:rsid w:val="00A10577"/>
    <w:rsid w:val="00A119B4"/>
    <w:rsid w:val="00A170A2"/>
    <w:rsid w:val="00A2629A"/>
    <w:rsid w:val="00A30155"/>
    <w:rsid w:val="00A421EA"/>
    <w:rsid w:val="00A534B8"/>
    <w:rsid w:val="00A53B88"/>
    <w:rsid w:val="00A54063"/>
    <w:rsid w:val="00A5409F"/>
    <w:rsid w:val="00A56811"/>
    <w:rsid w:val="00A57460"/>
    <w:rsid w:val="00A63054"/>
    <w:rsid w:val="00A6693C"/>
    <w:rsid w:val="00A67E90"/>
    <w:rsid w:val="00A74A54"/>
    <w:rsid w:val="00A76FB9"/>
    <w:rsid w:val="00A83D41"/>
    <w:rsid w:val="00A873E9"/>
    <w:rsid w:val="00A9004C"/>
    <w:rsid w:val="00AB099B"/>
    <w:rsid w:val="00AB3116"/>
    <w:rsid w:val="00AB5F89"/>
    <w:rsid w:val="00AC6FDB"/>
    <w:rsid w:val="00AD3AC5"/>
    <w:rsid w:val="00AD437E"/>
    <w:rsid w:val="00AE4760"/>
    <w:rsid w:val="00B03CCC"/>
    <w:rsid w:val="00B04698"/>
    <w:rsid w:val="00B05292"/>
    <w:rsid w:val="00B105C2"/>
    <w:rsid w:val="00B14663"/>
    <w:rsid w:val="00B2036D"/>
    <w:rsid w:val="00B222FB"/>
    <w:rsid w:val="00B26C50"/>
    <w:rsid w:val="00B27CC7"/>
    <w:rsid w:val="00B37042"/>
    <w:rsid w:val="00B407F3"/>
    <w:rsid w:val="00B42E51"/>
    <w:rsid w:val="00B46033"/>
    <w:rsid w:val="00B47491"/>
    <w:rsid w:val="00B47814"/>
    <w:rsid w:val="00B539E4"/>
    <w:rsid w:val="00B53FCE"/>
    <w:rsid w:val="00B56BFE"/>
    <w:rsid w:val="00B57899"/>
    <w:rsid w:val="00B57D39"/>
    <w:rsid w:val="00B65452"/>
    <w:rsid w:val="00B656BE"/>
    <w:rsid w:val="00B6716A"/>
    <w:rsid w:val="00B704E7"/>
    <w:rsid w:val="00B727CB"/>
    <w:rsid w:val="00B72931"/>
    <w:rsid w:val="00B74A5B"/>
    <w:rsid w:val="00B80AAD"/>
    <w:rsid w:val="00B80ADE"/>
    <w:rsid w:val="00B816F5"/>
    <w:rsid w:val="00B86448"/>
    <w:rsid w:val="00B868BA"/>
    <w:rsid w:val="00B92661"/>
    <w:rsid w:val="00B93CBA"/>
    <w:rsid w:val="00BA7230"/>
    <w:rsid w:val="00BA7AAB"/>
    <w:rsid w:val="00BB34BD"/>
    <w:rsid w:val="00BB4AF1"/>
    <w:rsid w:val="00BB4FBA"/>
    <w:rsid w:val="00BB7040"/>
    <w:rsid w:val="00BC1208"/>
    <w:rsid w:val="00BC7C1F"/>
    <w:rsid w:val="00BD5D52"/>
    <w:rsid w:val="00BE2F47"/>
    <w:rsid w:val="00BE472B"/>
    <w:rsid w:val="00BF027E"/>
    <w:rsid w:val="00BF35D4"/>
    <w:rsid w:val="00BF5926"/>
    <w:rsid w:val="00BF732E"/>
    <w:rsid w:val="00C05913"/>
    <w:rsid w:val="00C17B50"/>
    <w:rsid w:val="00C2168A"/>
    <w:rsid w:val="00C30712"/>
    <w:rsid w:val="00C436AB"/>
    <w:rsid w:val="00C43F7A"/>
    <w:rsid w:val="00C4403A"/>
    <w:rsid w:val="00C537D1"/>
    <w:rsid w:val="00C55B7A"/>
    <w:rsid w:val="00C62B29"/>
    <w:rsid w:val="00C664FC"/>
    <w:rsid w:val="00C70C44"/>
    <w:rsid w:val="00C8056D"/>
    <w:rsid w:val="00C8144A"/>
    <w:rsid w:val="00C817BD"/>
    <w:rsid w:val="00C832FC"/>
    <w:rsid w:val="00C84DB5"/>
    <w:rsid w:val="00C92FDF"/>
    <w:rsid w:val="00CA0226"/>
    <w:rsid w:val="00CB2145"/>
    <w:rsid w:val="00CB4CB2"/>
    <w:rsid w:val="00CB560E"/>
    <w:rsid w:val="00CB66B0"/>
    <w:rsid w:val="00CC1B1D"/>
    <w:rsid w:val="00CC21B5"/>
    <w:rsid w:val="00CC227B"/>
    <w:rsid w:val="00CC3CF9"/>
    <w:rsid w:val="00CD6723"/>
    <w:rsid w:val="00CE5951"/>
    <w:rsid w:val="00CF02F3"/>
    <w:rsid w:val="00CF3B77"/>
    <w:rsid w:val="00CF73E9"/>
    <w:rsid w:val="00CF782B"/>
    <w:rsid w:val="00CF7C7D"/>
    <w:rsid w:val="00D136E3"/>
    <w:rsid w:val="00D14573"/>
    <w:rsid w:val="00D15A52"/>
    <w:rsid w:val="00D2403C"/>
    <w:rsid w:val="00D26176"/>
    <w:rsid w:val="00D31E35"/>
    <w:rsid w:val="00D411BE"/>
    <w:rsid w:val="00D507E2"/>
    <w:rsid w:val="00D533DA"/>
    <w:rsid w:val="00D534B3"/>
    <w:rsid w:val="00D60DF8"/>
    <w:rsid w:val="00D61CE0"/>
    <w:rsid w:val="00D652B6"/>
    <w:rsid w:val="00D660B8"/>
    <w:rsid w:val="00D678DB"/>
    <w:rsid w:val="00D7649E"/>
    <w:rsid w:val="00D844B9"/>
    <w:rsid w:val="00D84D5D"/>
    <w:rsid w:val="00D924E7"/>
    <w:rsid w:val="00DA016D"/>
    <w:rsid w:val="00DA2118"/>
    <w:rsid w:val="00DB32F3"/>
    <w:rsid w:val="00DC66B8"/>
    <w:rsid w:val="00DC6BCA"/>
    <w:rsid w:val="00DC74E1"/>
    <w:rsid w:val="00DD1132"/>
    <w:rsid w:val="00DD2F4E"/>
    <w:rsid w:val="00DE07A5"/>
    <w:rsid w:val="00DE1106"/>
    <w:rsid w:val="00DE2CE3"/>
    <w:rsid w:val="00DE3CEC"/>
    <w:rsid w:val="00DF4DDA"/>
    <w:rsid w:val="00DF51CE"/>
    <w:rsid w:val="00E04A92"/>
    <w:rsid w:val="00E04DAF"/>
    <w:rsid w:val="00E112C7"/>
    <w:rsid w:val="00E15C44"/>
    <w:rsid w:val="00E22A0E"/>
    <w:rsid w:val="00E22F6B"/>
    <w:rsid w:val="00E27269"/>
    <w:rsid w:val="00E32ED9"/>
    <w:rsid w:val="00E4272D"/>
    <w:rsid w:val="00E4707A"/>
    <w:rsid w:val="00E5058E"/>
    <w:rsid w:val="00E506E4"/>
    <w:rsid w:val="00E51733"/>
    <w:rsid w:val="00E56264"/>
    <w:rsid w:val="00E604B6"/>
    <w:rsid w:val="00E66CA0"/>
    <w:rsid w:val="00E7749F"/>
    <w:rsid w:val="00E836F5"/>
    <w:rsid w:val="00E87132"/>
    <w:rsid w:val="00E904DB"/>
    <w:rsid w:val="00E91604"/>
    <w:rsid w:val="00EA07C6"/>
    <w:rsid w:val="00EB06EE"/>
    <w:rsid w:val="00EB0832"/>
    <w:rsid w:val="00EC482D"/>
    <w:rsid w:val="00EC59D6"/>
    <w:rsid w:val="00EC7D94"/>
    <w:rsid w:val="00ED1EDE"/>
    <w:rsid w:val="00ED2B52"/>
    <w:rsid w:val="00ED373A"/>
    <w:rsid w:val="00ED56DF"/>
    <w:rsid w:val="00EE16E6"/>
    <w:rsid w:val="00F04295"/>
    <w:rsid w:val="00F1353E"/>
    <w:rsid w:val="00F14D7F"/>
    <w:rsid w:val="00F20AC8"/>
    <w:rsid w:val="00F23619"/>
    <w:rsid w:val="00F23E5B"/>
    <w:rsid w:val="00F259FD"/>
    <w:rsid w:val="00F3454B"/>
    <w:rsid w:val="00F41A50"/>
    <w:rsid w:val="00F522E3"/>
    <w:rsid w:val="00F54F06"/>
    <w:rsid w:val="00F620A7"/>
    <w:rsid w:val="00F65B7F"/>
    <w:rsid w:val="00F66145"/>
    <w:rsid w:val="00F67719"/>
    <w:rsid w:val="00F71D02"/>
    <w:rsid w:val="00F814BD"/>
    <w:rsid w:val="00F81980"/>
    <w:rsid w:val="00F84F90"/>
    <w:rsid w:val="00F92742"/>
    <w:rsid w:val="00FA3555"/>
    <w:rsid w:val="00FA6449"/>
    <w:rsid w:val="00FB5579"/>
    <w:rsid w:val="00FC0E4A"/>
    <w:rsid w:val="00FC3BCF"/>
    <w:rsid w:val="00FC5B09"/>
    <w:rsid w:val="00FD0590"/>
    <w:rsid w:val="00FD0A93"/>
    <w:rsid w:val="00FE393D"/>
    <w:rsid w:val="00FE4098"/>
    <w:rsid w:val="00FE5E0D"/>
    <w:rsid w:val="00FF7F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7702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35"/>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9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2B75C4"/>
    <w:rPr>
      <w:rFonts w:ascii="Arial" w:hAnsi="Arial" w:cs="Arial"/>
      <w:sz w:val="18"/>
      <w:szCs w:val="18"/>
    </w:rPr>
  </w:style>
  <w:style w:type="paragraph" w:styleId="Header">
    <w:name w:val="header"/>
    <w:aliases w:val="ŠHeader"/>
    <w:basedOn w:val="Normal"/>
    <w:link w:val="HeaderChar"/>
    <w:uiPriority w:val="99"/>
    <w:rsid w:val="002B75C4"/>
    <w:rPr>
      <w:noProof/>
      <w:color w:val="002664"/>
      <w:sz w:val="28"/>
      <w:szCs w:val="28"/>
    </w:rPr>
  </w:style>
  <w:style w:type="character" w:customStyle="1" w:styleId="HeaderChar">
    <w:name w:val="Header Char"/>
    <w:aliases w:val="ŠHeader Char"/>
    <w:basedOn w:val="DefaultParagraphFont"/>
    <w:link w:val="Header"/>
    <w:uiPriority w:val="99"/>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semiHidden/>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semiHidden/>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paragraph" w:customStyle="1" w:styleId="HeaderFooterSensitivityLabelSpace">
    <w:name w:val="Header&amp;Footer Sensitivity Label Space"/>
    <w:next w:val="Header"/>
    <w:uiPriority w:val="99"/>
    <w:rsid w:val="00CF782B"/>
    <w:pPr>
      <w:suppressAutoHyphens/>
      <w:spacing w:before="240" w:after="240" w:line="240" w:lineRule="auto"/>
    </w:pPr>
    <w:rPr>
      <w:rFonts w:eastAsia="SimSun"/>
      <w:color w:val="00266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1302">
      <w:bodyDiv w:val="1"/>
      <w:marLeft w:val="0"/>
      <w:marRight w:val="0"/>
      <w:marTop w:val="0"/>
      <w:marBottom w:val="0"/>
      <w:divBdr>
        <w:top w:val="none" w:sz="0" w:space="0" w:color="auto"/>
        <w:left w:val="none" w:sz="0" w:space="0" w:color="auto"/>
        <w:bottom w:val="none" w:sz="0" w:space="0" w:color="auto"/>
        <w:right w:val="none" w:sz="0" w:space="0" w:color="auto"/>
      </w:divBdr>
    </w:div>
    <w:div w:id="16567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Templates\Draft%20templates\3.%20Annotated%20comms%20and%20engagement%20template%20-%20CP.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df60a0-7d1e-4280-9d48-2463bc0c454e">
      <Terms xmlns="http://schemas.microsoft.com/office/infopath/2007/PartnerControls"/>
    </lcf76f155ced4ddcb4097134ff3c332f>
    <TaxCatchAll xmlns="340e47d3-8ad7-4a44-b0dd-257eb51b07e1" xsi:nil="true"/>
  </documentManagement>
</p:properties>
</file>

<file path=customXml/itemProps1.xml><?xml version="1.0" encoding="utf-8"?>
<ds:datastoreItem xmlns:ds="http://schemas.openxmlformats.org/officeDocument/2006/customXml" ds:itemID="{1A18F5B7-0625-4AD8-8E91-4D0D3E96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bcdf60a0-7d1e-4280-9d48-2463bc0c454e"/>
    <ds:schemaRef ds:uri="340e47d3-8ad7-4a44-b0dd-257eb51b07e1"/>
  </ds:schemaRefs>
</ds:datastoreItem>
</file>

<file path=docProps/app.xml><?xml version="1.0" encoding="utf-8"?>
<Properties xmlns="http://schemas.openxmlformats.org/officeDocument/2006/extended-properties" xmlns:vt="http://schemas.openxmlformats.org/officeDocument/2006/docPropsVTypes">
  <Template>3. Annotated comms and engagement template - CP</Template>
  <TotalTime>60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dc:creator>
  <cp:keywords/>
  <dc:description/>
  <cp:lastModifiedBy>Leah Penney</cp:lastModifiedBy>
  <cp:revision>61</cp:revision>
  <dcterms:created xsi:type="dcterms:W3CDTF">2024-10-21T03:12:00Z</dcterms:created>
  <dcterms:modified xsi:type="dcterms:W3CDTF">2024-11-13T05:28:00Z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