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1DD4F" w14:textId="103E154F" w:rsidR="00333EB3" w:rsidRDefault="00333EB3" w:rsidP="00333EB3">
      <w:pPr>
        <w:pStyle w:val="Title"/>
      </w:pPr>
      <w:r>
        <w:t>Society and Culture – stage 6 – the social and cultural world</w:t>
      </w:r>
    </w:p>
    <w:p w14:paraId="00666DA8" w14:textId="77777777" w:rsidR="00333EB3" w:rsidRPr="00CA44A4" w:rsidRDefault="00333EB3" w:rsidP="00333EB3">
      <w:pPr>
        <w:pStyle w:val="FeatureBox2"/>
        <w:rPr>
          <w:rStyle w:val="Strong"/>
        </w:rPr>
      </w:pPr>
      <w:r w:rsidRPr="00CA44A4">
        <w:rPr>
          <w:rStyle w:val="Strong"/>
        </w:rPr>
        <w:t>Note for teachers:</w:t>
      </w:r>
    </w:p>
    <w:p w14:paraId="74897E99" w14:textId="77777777" w:rsidR="00333EB3" w:rsidRDefault="00333EB3" w:rsidP="00333EB3">
      <w:pPr>
        <w:pStyle w:val="FeatureBox2"/>
      </w:pPr>
      <w:r>
        <w:t xml:space="preserve">Students are guided in examining Australian and Amish communities and part of </w:t>
      </w:r>
      <w:r w:rsidRPr="007E6B4E">
        <w:t xml:space="preserve">the </w:t>
      </w:r>
      <w:r>
        <w:t>Looking in/l</w:t>
      </w:r>
      <w:r w:rsidRPr="007E6B4E">
        <w:t>oo</w:t>
      </w:r>
      <w:r>
        <w:t>king out: exploring the social and cultural w</w:t>
      </w:r>
      <w:r w:rsidRPr="007E6B4E">
        <w:t>orld</w:t>
      </w:r>
      <w:r>
        <w:t xml:space="preserve"> focus study. This lesson sequence is intended to cover 1 week of learning and includes a number of online and independent activities.</w:t>
      </w:r>
    </w:p>
    <w:p w14:paraId="59CAB91B" w14:textId="77777777" w:rsidR="00333EB3" w:rsidRDefault="00333EB3" w:rsidP="00333EB3">
      <w:pPr>
        <w:pStyle w:val="FeatureBox2"/>
      </w:pPr>
      <w:r>
        <w:t>Worksheets and resources are found at the end of the learning sequence.</w:t>
      </w:r>
    </w:p>
    <w:p w14:paraId="512C1CE5" w14:textId="77777777" w:rsidR="00333EB3" w:rsidRDefault="00333EB3" w:rsidP="00333EB3">
      <w:r w:rsidRPr="007F1DA5">
        <w:t xml:space="preserve">This document references the </w:t>
      </w:r>
      <w:hyperlink r:id="rId8" w:history="1">
        <w:r w:rsidRPr="005F0F94">
          <w:rPr>
            <w:rStyle w:val="Hyperlink"/>
          </w:rPr>
          <w:t>Geography K-10</w:t>
        </w:r>
      </w:hyperlink>
      <w:r>
        <w:t xml:space="preserve"> </w:t>
      </w:r>
      <w:r w:rsidRPr="007F1DA5">
        <w:t>Syllabus © 20</w:t>
      </w:r>
      <w:r>
        <w:t>15</w:t>
      </w:r>
      <w:r w:rsidRPr="007F1DA5">
        <w:t xml:space="preserve"> Copyright NSW Education Standards Authority for and on behalf of the Crown in right of the State of New South Wales.</w:t>
      </w:r>
    </w:p>
    <w:p w14:paraId="245D6019" w14:textId="77777777" w:rsidR="00333EB3" w:rsidRDefault="00333EB3" w:rsidP="00333EB3">
      <w:pPr>
        <w:rPr>
          <w:rFonts w:eastAsia="SimSun" w:cs="Arial"/>
          <w:color w:val="1C438B"/>
          <w:sz w:val="40"/>
          <w:szCs w:val="40"/>
          <w:lang w:eastAsia="zh-CN"/>
        </w:rPr>
      </w:pPr>
      <w:r>
        <w:br w:type="page"/>
      </w:r>
    </w:p>
    <w:p w14:paraId="2D3C6FEE" w14:textId="77777777" w:rsidR="00333EB3" w:rsidRDefault="00333EB3" w:rsidP="00333EB3">
      <w:pPr>
        <w:pStyle w:val="Heading2"/>
        <w:numPr>
          <w:ilvl w:val="1"/>
          <w:numId w:val="2"/>
        </w:numPr>
        <w:ind w:left="0"/>
      </w:pPr>
      <w:r>
        <w:lastRenderedPageBreak/>
        <w:t>1.0 Focus study – Looking in looking out</w:t>
      </w:r>
    </w:p>
    <w:p w14:paraId="029ED6EE" w14:textId="77777777" w:rsidR="00333EB3" w:rsidRDefault="00333EB3" w:rsidP="00333EB3">
      <w:r>
        <w:t>Students gain an understanding of the social and cultural world through:</w:t>
      </w:r>
    </w:p>
    <w:p w14:paraId="22A8174B" w14:textId="77777777" w:rsidR="00333EB3" w:rsidRDefault="00333EB3" w:rsidP="00333EB3">
      <w:pPr>
        <w:pStyle w:val="ListBullet"/>
        <w:numPr>
          <w:ilvl w:val="0"/>
          <w:numId w:val="1"/>
        </w:numPr>
      </w:pPr>
      <w:r>
        <w:t>A study</w:t>
      </w:r>
      <w:r w:rsidRPr="00A306F3">
        <w:t xml:space="preserve"> </w:t>
      </w:r>
      <w:r>
        <w:t xml:space="preserve">from Australia or overseas, of a cultural group that is different from the student’s own in relation to two of the following </w:t>
      </w:r>
    </w:p>
    <w:p w14:paraId="25925FE2" w14:textId="77777777" w:rsidR="00333EB3" w:rsidRPr="004732BD" w:rsidRDefault="00333EB3" w:rsidP="00333EB3">
      <w:pPr>
        <w:pStyle w:val="ListBullet2"/>
        <w:numPr>
          <w:ilvl w:val="1"/>
          <w:numId w:val="3"/>
        </w:numPr>
      </w:pPr>
      <w:r w:rsidRPr="004732BD">
        <w:t>gender</w:t>
      </w:r>
    </w:p>
    <w:p w14:paraId="7B751E17" w14:textId="77777777" w:rsidR="00333EB3" w:rsidRPr="004732BD" w:rsidRDefault="00333EB3" w:rsidP="00333EB3">
      <w:pPr>
        <w:pStyle w:val="ListBullet2"/>
        <w:numPr>
          <w:ilvl w:val="1"/>
          <w:numId w:val="3"/>
        </w:numPr>
      </w:pPr>
      <w:r w:rsidRPr="004732BD">
        <w:t>identity</w:t>
      </w:r>
    </w:p>
    <w:p w14:paraId="57105303" w14:textId="77777777" w:rsidR="00333EB3" w:rsidRPr="004732BD" w:rsidRDefault="00333EB3" w:rsidP="00333EB3">
      <w:pPr>
        <w:pStyle w:val="ListBullet2"/>
        <w:numPr>
          <w:ilvl w:val="1"/>
          <w:numId w:val="3"/>
        </w:numPr>
      </w:pPr>
      <w:r w:rsidRPr="004732BD">
        <w:t>roles and status</w:t>
      </w:r>
    </w:p>
    <w:p w14:paraId="284D8145" w14:textId="77777777" w:rsidR="00333EB3" w:rsidRPr="004732BD" w:rsidRDefault="00333EB3" w:rsidP="00333EB3">
      <w:pPr>
        <w:pStyle w:val="ListBullet2"/>
        <w:numPr>
          <w:ilvl w:val="1"/>
          <w:numId w:val="3"/>
        </w:numPr>
      </w:pPr>
      <w:r w:rsidRPr="004732BD">
        <w:t>conflict/cooperation</w:t>
      </w:r>
    </w:p>
    <w:p w14:paraId="4064EC1D" w14:textId="77777777" w:rsidR="00333EB3" w:rsidRPr="004732BD" w:rsidRDefault="00333EB3" w:rsidP="00333EB3">
      <w:pPr>
        <w:pStyle w:val="ListBullet2"/>
        <w:numPr>
          <w:ilvl w:val="1"/>
          <w:numId w:val="3"/>
        </w:numPr>
      </w:pPr>
      <w:r w:rsidRPr="004732BD">
        <w:t>power, authority, influence and decision making</w:t>
      </w:r>
    </w:p>
    <w:p w14:paraId="7AC2E947" w14:textId="374B3886" w:rsidR="00333EB3" w:rsidRPr="00CF3A6B" w:rsidRDefault="005151E2" w:rsidP="00333EB3">
      <w:pPr>
        <w:pStyle w:val="ListBullet"/>
        <w:numPr>
          <w:ilvl w:val="0"/>
          <w:numId w:val="1"/>
        </w:numPr>
      </w:pPr>
      <w:r w:rsidRPr="000E3A70">
        <w:t>Reflecting</w:t>
      </w:r>
      <w:r w:rsidR="00333EB3" w:rsidRPr="000E3A70">
        <w:t xml:space="preserve"> on their experience of their own society and culture and how this may be similar to, or different from, the cultural group in the focus study undertaken.</w:t>
      </w:r>
    </w:p>
    <w:p w14:paraId="227C3358" w14:textId="77777777" w:rsidR="00333EB3" w:rsidRPr="0089775A" w:rsidRDefault="00333EB3" w:rsidP="00333EB3">
      <w:pPr>
        <w:pStyle w:val="Heading3"/>
        <w:numPr>
          <w:ilvl w:val="2"/>
          <w:numId w:val="2"/>
        </w:numPr>
        <w:ind w:left="0"/>
        <w:rPr>
          <w:rStyle w:val="Strong"/>
        </w:rPr>
      </w:pPr>
      <w:r>
        <w:t>1.1 Understanding a different social or cultural group</w:t>
      </w:r>
    </w:p>
    <w:p w14:paraId="11CA75D6" w14:textId="77777777" w:rsidR="00333EB3" w:rsidRPr="00D3622E" w:rsidRDefault="00333EB3" w:rsidP="00333EB3">
      <w:pPr>
        <w:pStyle w:val="FeatureBox2"/>
        <w:rPr>
          <w:rStyle w:val="Strong"/>
          <w:b w:val="0"/>
          <w:bCs w:val="0"/>
        </w:rPr>
      </w:pPr>
      <w:r w:rsidRPr="0035292A">
        <w:rPr>
          <w:rStyle w:val="Strong"/>
        </w:rPr>
        <w:t>Teachers’ note</w:t>
      </w:r>
      <w:r>
        <w:rPr>
          <w:rStyle w:val="Strong"/>
        </w:rPr>
        <w:t>: t</w:t>
      </w:r>
      <w:r>
        <w:rPr>
          <w:rStyle w:val="Strong"/>
          <w:b w:val="0"/>
        </w:rPr>
        <w:t xml:space="preserve">his focus study examines the Amish community (chosen as there are very few Amish families in Australia). The focus study areas are </w:t>
      </w:r>
      <w:r>
        <w:t>gender and conflict/cooperation.</w:t>
      </w:r>
    </w:p>
    <w:p w14:paraId="1F17556E" w14:textId="77777777" w:rsidR="00333EB3" w:rsidRPr="00251E62" w:rsidRDefault="00333EB3" w:rsidP="00333EB3">
      <w:pPr>
        <w:pStyle w:val="Heading4"/>
        <w:rPr>
          <w:rStyle w:val="Strong"/>
        </w:rPr>
      </w:pPr>
      <w:r w:rsidRPr="00251E62">
        <w:rPr>
          <w:rStyle w:val="Strong"/>
        </w:rPr>
        <w:t>Activities</w:t>
      </w:r>
      <w:r>
        <w:rPr>
          <w:rStyle w:val="Strong"/>
        </w:rPr>
        <w:t>:</w:t>
      </w:r>
    </w:p>
    <w:p w14:paraId="5D3529C3" w14:textId="6234CFB7" w:rsidR="00333EB3" w:rsidRDefault="004C39BF" w:rsidP="00333EB3">
      <w:pPr>
        <w:pStyle w:val="ListBullet"/>
        <w:numPr>
          <w:ilvl w:val="0"/>
          <w:numId w:val="1"/>
        </w:numPr>
      </w:pPr>
      <w:r>
        <w:t>Using the BBC</w:t>
      </w:r>
      <w:r w:rsidR="00333EB3">
        <w:t xml:space="preserve"> </w:t>
      </w:r>
      <w:hyperlink r:id="rId9" w:history="1">
        <w:r w:rsidR="00333EB3" w:rsidRPr="00014414">
          <w:rPr>
            <w:rStyle w:val="Hyperlink"/>
          </w:rPr>
          <w:t>Amish communities resource</w:t>
        </w:r>
      </w:hyperlink>
      <w:r w:rsidR="00333EB3">
        <w:t>, read the information about the characteristics of Amish communities and complete the following worksheet - 1.1 The Amish community</w:t>
      </w:r>
    </w:p>
    <w:p w14:paraId="5B8FFEA5" w14:textId="77777777" w:rsidR="00333EB3" w:rsidRDefault="00333EB3" w:rsidP="00333EB3">
      <w:pPr>
        <w:pStyle w:val="ListBullet"/>
        <w:numPr>
          <w:ilvl w:val="0"/>
          <w:numId w:val="1"/>
        </w:numPr>
      </w:pPr>
      <w:r>
        <w:t>Identify some of the key features of the Amish in relation to gender and conflict/cooperation. Relate those features to the fundamental, additional and related depth study concepts.</w:t>
      </w:r>
    </w:p>
    <w:p w14:paraId="3E28F3DB" w14:textId="77777777" w:rsidR="00333EB3" w:rsidRDefault="00333EB3" w:rsidP="00333EB3">
      <w:pPr>
        <w:pStyle w:val="ListBullet"/>
        <w:numPr>
          <w:ilvl w:val="0"/>
          <w:numId w:val="1"/>
        </w:numPr>
      </w:pPr>
      <w:r>
        <w:t>Read the following articles and watch the video:</w:t>
      </w:r>
    </w:p>
    <w:p w14:paraId="441FF253" w14:textId="77777777" w:rsidR="00333EB3" w:rsidRDefault="004C39BF" w:rsidP="00333EB3">
      <w:pPr>
        <w:pStyle w:val="ListBullet2"/>
        <w:numPr>
          <w:ilvl w:val="1"/>
          <w:numId w:val="3"/>
        </w:numPr>
      </w:pPr>
      <w:hyperlink r:id="rId10" w:history="1">
        <w:r w:rsidR="00333EB3" w:rsidRPr="00E0425E">
          <w:rPr>
            <w:rStyle w:val="Hyperlink"/>
          </w:rPr>
          <w:t>Meet the McCallums, one of Australia’s few Amish families</w:t>
        </w:r>
      </w:hyperlink>
    </w:p>
    <w:p w14:paraId="18A024DC" w14:textId="277D1F4C" w:rsidR="00333EB3" w:rsidRDefault="00333EB3" w:rsidP="00333EB3">
      <w:pPr>
        <w:pStyle w:val="ListBullet2"/>
        <w:numPr>
          <w:ilvl w:val="1"/>
          <w:numId w:val="3"/>
        </w:numPr>
      </w:pPr>
      <w:r>
        <w:fldChar w:fldCharType="begin"/>
      </w:r>
      <w:r>
        <w:instrText xml:space="preserve"> HYPERLINK "https://www.sbs.com.au/news/insight/i-was-brainwashed-by-the-amish-community" </w:instrText>
      </w:r>
      <w:r>
        <w:fldChar w:fldCharType="separate"/>
      </w:r>
      <w:r>
        <w:rPr>
          <w:rStyle w:val="Hyperlink"/>
        </w:rPr>
        <w:t xml:space="preserve">SBS Insight – Emma Gingerich </w:t>
      </w:r>
      <w:r w:rsidRPr="004732BD">
        <w:t>(</w:t>
      </w:r>
      <w:r w:rsidR="004C39BF">
        <w:t xml:space="preserve">video </w:t>
      </w:r>
      <w:r w:rsidRPr="004732BD">
        <w:t>duration</w:t>
      </w:r>
      <w:r>
        <w:t xml:space="preserve"> 1:18)</w:t>
      </w:r>
    </w:p>
    <w:p w14:paraId="52B2C311" w14:textId="259B8E1F" w:rsidR="00333EB3" w:rsidRDefault="00333EB3" w:rsidP="00333EB3">
      <w:pPr>
        <w:pStyle w:val="ListBullet2"/>
        <w:numPr>
          <w:ilvl w:val="1"/>
          <w:numId w:val="3"/>
        </w:numPr>
      </w:pPr>
      <w:r>
        <w:fldChar w:fldCharType="end"/>
      </w:r>
      <w:hyperlink r:id="rId11" w:history="1">
        <w:r w:rsidRPr="00614893">
          <w:rPr>
            <w:rStyle w:val="Hyperlink"/>
          </w:rPr>
          <w:t>SBS Insight</w:t>
        </w:r>
      </w:hyperlink>
      <w:r w:rsidRPr="006D5507">
        <w:t xml:space="preserve"> </w:t>
      </w:r>
      <w:r w:rsidRPr="004732BD">
        <w:t>(</w:t>
      </w:r>
      <w:r w:rsidR="004C39BF">
        <w:t xml:space="preserve">video </w:t>
      </w:r>
      <w:r w:rsidRPr="004732BD">
        <w:t>duration</w:t>
      </w:r>
      <w:r>
        <w:t xml:space="preserve"> 2:15)</w:t>
      </w:r>
    </w:p>
    <w:p w14:paraId="2EF25764" w14:textId="77777777" w:rsidR="00333EB3" w:rsidRDefault="00333EB3" w:rsidP="00333EB3">
      <w:pPr>
        <w:pStyle w:val="ListBullet"/>
        <w:numPr>
          <w:ilvl w:val="0"/>
          <w:numId w:val="1"/>
        </w:numPr>
      </w:pPr>
      <w:r>
        <w:t>From the information in the articles and video, write a brief summary of the history of the Amish, including:</w:t>
      </w:r>
    </w:p>
    <w:p w14:paraId="220F669B" w14:textId="77777777" w:rsidR="00333EB3" w:rsidRDefault="00333EB3" w:rsidP="00333EB3">
      <w:pPr>
        <w:pStyle w:val="ListBullet2"/>
        <w:numPr>
          <w:ilvl w:val="1"/>
          <w:numId w:val="3"/>
        </w:numPr>
      </w:pPr>
      <w:r>
        <w:t>their origins</w:t>
      </w:r>
    </w:p>
    <w:p w14:paraId="43E00287" w14:textId="77777777" w:rsidR="00333EB3" w:rsidRDefault="00333EB3" w:rsidP="00333EB3">
      <w:pPr>
        <w:pStyle w:val="ListBullet2"/>
        <w:numPr>
          <w:ilvl w:val="1"/>
          <w:numId w:val="3"/>
        </w:numPr>
      </w:pPr>
      <w:r>
        <w:t>their world view</w:t>
      </w:r>
    </w:p>
    <w:p w14:paraId="38C44088" w14:textId="6825DD50" w:rsidR="00333EB3" w:rsidRDefault="00333EB3" w:rsidP="00333EB3">
      <w:pPr>
        <w:pStyle w:val="ListBullet"/>
        <w:rPr>
          <w:lang w:eastAsia="zh-CN"/>
        </w:rPr>
      </w:pPr>
      <w:r>
        <w:t>Expand the information in you have written in worksheet 1.1 The Amish community with new or expanded information from the articles.</w:t>
      </w:r>
    </w:p>
    <w:p w14:paraId="0FA823CD" w14:textId="690F61F9" w:rsidR="00333EB3" w:rsidRDefault="00333EB3" w:rsidP="00333EB3">
      <w:pPr>
        <w:pStyle w:val="ListBullet"/>
        <w:numPr>
          <w:ilvl w:val="0"/>
          <w:numId w:val="0"/>
        </w:numPr>
        <w:ind w:left="284"/>
        <w:rPr>
          <w:lang w:eastAsia="zh-CN"/>
        </w:rPr>
      </w:pPr>
    </w:p>
    <w:p w14:paraId="0E2E82B9" w14:textId="6DD81D20" w:rsidR="00333EB3" w:rsidRDefault="00333EB3" w:rsidP="00333EB3">
      <w:pPr>
        <w:pStyle w:val="ListBullet"/>
        <w:numPr>
          <w:ilvl w:val="0"/>
          <w:numId w:val="0"/>
        </w:numPr>
        <w:ind w:left="284"/>
        <w:rPr>
          <w:lang w:eastAsia="zh-CN"/>
        </w:rPr>
      </w:pPr>
    </w:p>
    <w:p w14:paraId="4C877A76" w14:textId="4017E951" w:rsidR="00333EB3" w:rsidRDefault="00333EB3" w:rsidP="00333EB3">
      <w:pPr>
        <w:pStyle w:val="Heading4"/>
      </w:pPr>
      <w:r>
        <w:t>Worksheet 1.1 the Amish community</w:t>
      </w:r>
    </w:p>
    <w:tbl>
      <w:tblPr>
        <w:tblStyle w:val="Tableheader"/>
        <w:tblW w:w="0" w:type="auto"/>
        <w:tblInd w:w="-30" w:type="dxa"/>
        <w:tblLook w:val="0420" w:firstRow="1" w:lastRow="0" w:firstColumn="0" w:lastColumn="0" w:noHBand="0" w:noVBand="1"/>
        <w:tblCaption w:val="worksheet 1.1 answer space"/>
        <w:tblDescription w:val="describe the life of the Amish community and relate the depth study"/>
      </w:tblPr>
      <w:tblGrid>
        <w:gridCol w:w="1735"/>
        <w:gridCol w:w="1480"/>
        <w:gridCol w:w="3171"/>
        <w:gridCol w:w="3216"/>
      </w:tblGrid>
      <w:tr w:rsidR="00333EB3" w14:paraId="26342698" w14:textId="77777777" w:rsidTr="005151E2">
        <w:trPr>
          <w:cnfStyle w:val="100000000000" w:firstRow="1" w:lastRow="0" w:firstColumn="0" w:lastColumn="0" w:oddVBand="0" w:evenVBand="0" w:oddHBand="0" w:evenHBand="0" w:firstRowFirstColumn="0" w:firstRowLastColumn="0" w:lastRowFirstColumn="0" w:lastRowLastColumn="0"/>
          <w:cantSplit w:val="0"/>
        </w:trPr>
        <w:tc>
          <w:tcPr>
            <w:tcW w:w="2254" w:type="dxa"/>
          </w:tcPr>
          <w:p w14:paraId="353A81DD" w14:textId="77777777" w:rsidR="00333EB3" w:rsidRDefault="00333EB3" w:rsidP="009A7FB6">
            <w:pPr>
              <w:spacing w:before="192" w:after="192"/>
            </w:pPr>
            <w:r>
              <w:t>Feature of life</w:t>
            </w:r>
          </w:p>
        </w:tc>
        <w:tc>
          <w:tcPr>
            <w:tcW w:w="2254" w:type="dxa"/>
          </w:tcPr>
          <w:p w14:paraId="2094B8BB" w14:textId="77777777" w:rsidR="00333EB3" w:rsidRDefault="00333EB3" w:rsidP="009A7FB6">
            <w:r>
              <w:t xml:space="preserve">Amish view </w:t>
            </w:r>
          </w:p>
        </w:tc>
        <w:tc>
          <w:tcPr>
            <w:tcW w:w="4335" w:type="dxa"/>
          </w:tcPr>
          <w:p w14:paraId="047F9AD1" w14:textId="77777777" w:rsidR="00333EB3" w:rsidRDefault="00333EB3" w:rsidP="009A7FB6">
            <w:r>
              <w:t>How it reflects gender and/or conflict/cooperation</w:t>
            </w:r>
          </w:p>
        </w:tc>
        <w:tc>
          <w:tcPr>
            <w:tcW w:w="5474" w:type="dxa"/>
          </w:tcPr>
          <w:p w14:paraId="2E62FA96" w14:textId="77777777" w:rsidR="00333EB3" w:rsidRDefault="00333EB3" w:rsidP="009A7FB6">
            <w:r>
              <w:t>How it relates to depth study contents</w:t>
            </w:r>
          </w:p>
        </w:tc>
      </w:tr>
      <w:tr w:rsidR="00333EB3" w14:paraId="5F18FCD0" w14:textId="77777777" w:rsidTr="005151E2">
        <w:trPr>
          <w:cnfStyle w:val="000000100000" w:firstRow="0" w:lastRow="0" w:firstColumn="0" w:lastColumn="0" w:oddVBand="0" w:evenVBand="0" w:oddHBand="1" w:evenHBand="0" w:firstRowFirstColumn="0" w:firstRowLastColumn="0" w:lastRowFirstColumn="0" w:lastRowLastColumn="0"/>
          <w:trHeight w:val="806"/>
        </w:trPr>
        <w:tc>
          <w:tcPr>
            <w:tcW w:w="2254" w:type="dxa"/>
          </w:tcPr>
          <w:p w14:paraId="39B96C19" w14:textId="77777777" w:rsidR="00333EB3" w:rsidRDefault="00333EB3" w:rsidP="009A7FB6">
            <w:r>
              <w:t>Clothing</w:t>
            </w:r>
          </w:p>
        </w:tc>
        <w:tc>
          <w:tcPr>
            <w:tcW w:w="2254" w:type="dxa"/>
          </w:tcPr>
          <w:p w14:paraId="1974D93B" w14:textId="77777777" w:rsidR="00333EB3" w:rsidRDefault="00333EB3" w:rsidP="009A7FB6">
            <w:r>
              <w:t>Plain clothes</w:t>
            </w:r>
          </w:p>
        </w:tc>
        <w:tc>
          <w:tcPr>
            <w:tcW w:w="4335" w:type="dxa"/>
          </w:tcPr>
          <w:p w14:paraId="32BE7C02" w14:textId="77777777" w:rsidR="00333EB3" w:rsidRDefault="00333EB3" w:rsidP="009A7FB6">
            <w:r>
              <w:t>Gender specific clothing. Eliminates a potential source of conflict (jealousy/envy) within the community.</w:t>
            </w:r>
          </w:p>
        </w:tc>
        <w:tc>
          <w:tcPr>
            <w:tcW w:w="5474" w:type="dxa"/>
          </w:tcPr>
          <w:p w14:paraId="50A82ED2" w14:textId="77777777" w:rsidR="00333EB3" w:rsidRDefault="00333EB3" w:rsidP="009A7FB6">
            <w:r>
              <w:t>Gender and reinforcement of gender roles within the community.</w:t>
            </w:r>
          </w:p>
        </w:tc>
      </w:tr>
      <w:tr w:rsidR="00333EB3" w14:paraId="7C9D40AE" w14:textId="77777777" w:rsidTr="005151E2">
        <w:trPr>
          <w:cnfStyle w:val="000000010000" w:firstRow="0" w:lastRow="0" w:firstColumn="0" w:lastColumn="0" w:oddVBand="0" w:evenVBand="0" w:oddHBand="0" w:evenHBand="1" w:firstRowFirstColumn="0" w:firstRowLastColumn="0" w:lastRowFirstColumn="0" w:lastRowLastColumn="0"/>
          <w:trHeight w:val="806"/>
        </w:trPr>
        <w:tc>
          <w:tcPr>
            <w:tcW w:w="2254" w:type="dxa"/>
          </w:tcPr>
          <w:p w14:paraId="5CA79F30" w14:textId="77777777" w:rsidR="00333EB3" w:rsidRDefault="00333EB3" w:rsidP="009A7FB6">
            <w:r>
              <w:t>Technology</w:t>
            </w:r>
          </w:p>
        </w:tc>
        <w:tc>
          <w:tcPr>
            <w:tcW w:w="2254" w:type="dxa"/>
          </w:tcPr>
          <w:p w14:paraId="2592D64C" w14:textId="77777777" w:rsidR="00333EB3" w:rsidRDefault="00333EB3" w:rsidP="009A7FB6"/>
        </w:tc>
        <w:tc>
          <w:tcPr>
            <w:tcW w:w="4335" w:type="dxa"/>
          </w:tcPr>
          <w:p w14:paraId="0D33DDA1" w14:textId="77777777" w:rsidR="00333EB3" w:rsidRDefault="00333EB3" w:rsidP="009A7FB6"/>
        </w:tc>
        <w:tc>
          <w:tcPr>
            <w:tcW w:w="5474" w:type="dxa"/>
          </w:tcPr>
          <w:p w14:paraId="19CA2FEC" w14:textId="77777777" w:rsidR="00333EB3" w:rsidRDefault="00333EB3" w:rsidP="009A7FB6"/>
        </w:tc>
      </w:tr>
      <w:tr w:rsidR="00333EB3" w14:paraId="728BD397" w14:textId="77777777" w:rsidTr="005151E2">
        <w:trPr>
          <w:cnfStyle w:val="000000100000" w:firstRow="0" w:lastRow="0" w:firstColumn="0" w:lastColumn="0" w:oddVBand="0" w:evenVBand="0" w:oddHBand="1" w:evenHBand="0" w:firstRowFirstColumn="0" w:firstRowLastColumn="0" w:lastRowFirstColumn="0" w:lastRowLastColumn="0"/>
          <w:trHeight w:val="806"/>
        </w:trPr>
        <w:tc>
          <w:tcPr>
            <w:tcW w:w="2254" w:type="dxa"/>
          </w:tcPr>
          <w:p w14:paraId="37C74C25" w14:textId="77777777" w:rsidR="00333EB3" w:rsidRDefault="00333EB3" w:rsidP="009A7FB6">
            <w:r>
              <w:t>Gender roles – family life</w:t>
            </w:r>
          </w:p>
        </w:tc>
        <w:tc>
          <w:tcPr>
            <w:tcW w:w="2254" w:type="dxa"/>
          </w:tcPr>
          <w:p w14:paraId="73C107DF" w14:textId="77777777" w:rsidR="00333EB3" w:rsidRDefault="00333EB3" w:rsidP="009A7FB6"/>
        </w:tc>
        <w:tc>
          <w:tcPr>
            <w:tcW w:w="4335" w:type="dxa"/>
          </w:tcPr>
          <w:p w14:paraId="4F57ED72" w14:textId="77777777" w:rsidR="00333EB3" w:rsidRDefault="00333EB3" w:rsidP="009A7FB6"/>
        </w:tc>
        <w:tc>
          <w:tcPr>
            <w:tcW w:w="5474" w:type="dxa"/>
          </w:tcPr>
          <w:p w14:paraId="7B3D1CEE" w14:textId="77777777" w:rsidR="00333EB3" w:rsidRDefault="00333EB3" w:rsidP="009A7FB6"/>
        </w:tc>
      </w:tr>
      <w:tr w:rsidR="00333EB3" w14:paraId="12763A0F" w14:textId="77777777" w:rsidTr="005151E2">
        <w:trPr>
          <w:cnfStyle w:val="000000010000" w:firstRow="0" w:lastRow="0" w:firstColumn="0" w:lastColumn="0" w:oddVBand="0" w:evenVBand="0" w:oddHBand="0" w:evenHBand="1" w:firstRowFirstColumn="0" w:firstRowLastColumn="0" w:lastRowFirstColumn="0" w:lastRowLastColumn="0"/>
          <w:trHeight w:val="806"/>
        </w:trPr>
        <w:tc>
          <w:tcPr>
            <w:tcW w:w="2254" w:type="dxa"/>
          </w:tcPr>
          <w:p w14:paraId="79412EE1" w14:textId="77777777" w:rsidR="00333EB3" w:rsidRDefault="00333EB3" w:rsidP="009A7FB6">
            <w:r>
              <w:t>Gender roles - community</w:t>
            </w:r>
          </w:p>
        </w:tc>
        <w:tc>
          <w:tcPr>
            <w:tcW w:w="2254" w:type="dxa"/>
          </w:tcPr>
          <w:p w14:paraId="54B064A6" w14:textId="77777777" w:rsidR="00333EB3" w:rsidRDefault="00333EB3" w:rsidP="009A7FB6"/>
        </w:tc>
        <w:tc>
          <w:tcPr>
            <w:tcW w:w="4335" w:type="dxa"/>
          </w:tcPr>
          <w:p w14:paraId="0E121856" w14:textId="77777777" w:rsidR="00333EB3" w:rsidRDefault="00333EB3" w:rsidP="009A7FB6"/>
        </w:tc>
        <w:tc>
          <w:tcPr>
            <w:tcW w:w="5474" w:type="dxa"/>
          </w:tcPr>
          <w:p w14:paraId="673C6186" w14:textId="77777777" w:rsidR="00333EB3" w:rsidRDefault="00333EB3" w:rsidP="009A7FB6"/>
        </w:tc>
      </w:tr>
      <w:tr w:rsidR="00333EB3" w14:paraId="739C9EFB" w14:textId="77777777" w:rsidTr="005151E2">
        <w:trPr>
          <w:cnfStyle w:val="000000100000" w:firstRow="0" w:lastRow="0" w:firstColumn="0" w:lastColumn="0" w:oddVBand="0" w:evenVBand="0" w:oddHBand="1" w:evenHBand="0" w:firstRowFirstColumn="0" w:firstRowLastColumn="0" w:lastRowFirstColumn="0" w:lastRowLastColumn="0"/>
          <w:trHeight w:val="806"/>
        </w:trPr>
        <w:tc>
          <w:tcPr>
            <w:tcW w:w="2254" w:type="dxa"/>
          </w:tcPr>
          <w:p w14:paraId="5C9E05E6" w14:textId="77777777" w:rsidR="00333EB3" w:rsidRDefault="00333EB3" w:rsidP="009A7FB6">
            <w:r>
              <w:t>Pacifists</w:t>
            </w:r>
          </w:p>
        </w:tc>
        <w:tc>
          <w:tcPr>
            <w:tcW w:w="2254" w:type="dxa"/>
          </w:tcPr>
          <w:p w14:paraId="35552817" w14:textId="77777777" w:rsidR="00333EB3" w:rsidRDefault="00333EB3" w:rsidP="009A7FB6"/>
        </w:tc>
        <w:tc>
          <w:tcPr>
            <w:tcW w:w="4335" w:type="dxa"/>
          </w:tcPr>
          <w:p w14:paraId="1EEFC489" w14:textId="77777777" w:rsidR="00333EB3" w:rsidRDefault="00333EB3" w:rsidP="009A7FB6"/>
        </w:tc>
        <w:tc>
          <w:tcPr>
            <w:tcW w:w="5474" w:type="dxa"/>
          </w:tcPr>
          <w:p w14:paraId="6F538EDD" w14:textId="77777777" w:rsidR="00333EB3" w:rsidRDefault="00333EB3" w:rsidP="009A7FB6"/>
        </w:tc>
      </w:tr>
      <w:tr w:rsidR="00333EB3" w14:paraId="3C9826DB" w14:textId="77777777" w:rsidTr="005151E2">
        <w:trPr>
          <w:cnfStyle w:val="000000010000" w:firstRow="0" w:lastRow="0" w:firstColumn="0" w:lastColumn="0" w:oddVBand="0" w:evenVBand="0" w:oddHBand="0" w:evenHBand="1" w:firstRowFirstColumn="0" w:firstRowLastColumn="0" w:lastRowFirstColumn="0" w:lastRowLastColumn="0"/>
          <w:trHeight w:val="806"/>
        </w:trPr>
        <w:tc>
          <w:tcPr>
            <w:tcW w:w="2254" w:type="dxa"/>
          </w:tcPr>
          <w:p w14:paraId="5A8BF632" w14:textId="77777777" w:rsidR="00333EB3" w:rsidRDefault="00333EB3" w:rsidP="009A7FB6">
            <w:r>
              <w:t>Law</w:t>
            </w:r>
          </w:p>
        </w:tc>
        <w:tc>
          <w:tcPr>
            <w:tcW w:w="2254" w:type="dxa"/>
          </w:tcPr>
          <w:p w14:paraId="4670D579" w14:textId="77777777" w:rsidR="00333EB3" w:rsidRDefault="00333EB3" w:rsidP="009A7FB6"/>
        </w:tc>
        <w:tc>
          <w:tcPr>
            <w:tcW w:w="4335" w:type="dxa"/>
          </w:tcPr>
          <w:p w14:paraId="71BA5FB7" w14:textId="77777777" w:rsidR="00333EB3" w:rsidRDefault="00333EB3" w:rsidP="009A7FB6"/>
        </w:tc>
        <w:tc>
          <w:tcPr>
            <w:tcW w:w="5474" w:type="dxa"/>
          </w:tcPr>
          <w:p w14:paraId="15F6EABE" w14:textId="77777777" w:rsidR="00333EB3" w:rsidRDefault="00333EB3" w:rsidP="009A7FB6"/>
        </w:tc>
      </w:tr>
      <w:tr w:rsidR="00333EB3" w14:paraId="7AA6591F" w14:textId="77777777" w:rsidTr="005151E2">
        <w:trPr>
          <w:cnfStyle w:val="000000100000" w:firstRow="0" w:lastRow="0" w:firstColumn="0" w:lastColumn="0" w:oddVBand="0" w:evenVBand="0" w:oddHBand="1" w:evenHBand="0" w:firstRowFirstColumn="0" w:firstRowLastColumn="0" w:lastRowFirstColumn="0" w:lastRowLastColumn="0"/>
          <w:trHeight w:val="806"/>
        </w:trPr>
        <w:tc>
          <w:tcPr>
            <w:tcW w:w="2254" w:type="dxa"/>
          </w:tcPr>
          <w:p w14:paraId="3417835D" w14:textId="77777777" w:rsidR="00333EB3" w:rsidRDefault="00333EB3" w:rsidP="009A7FB6">
            <w:r>
              <w:t>Insurance</w:t>
            </w:r>
          </w:p>
        </w:tc>
        <w:tc>
          <w:tcPr>
            <w:tcW w:w="2254" w:type="dxa"/>
          </w:tcPr>
          <w:p w14:paraId="05175E88" w14:textId="77777777" w:rsidR="00333EB3" w:rsidRDefault="00333EB3" w:rsidP="009A7FB6"/>
        </w:tc>
        <w:tc>
          <w:tcPr>
            <w:tcW w:w="4335" w:type="dxa"/>
          </w:tcPr>
          <w:p w14:paraId="6C922F6A" w14:textId="77777777" w:rsidR="00333EB3" w:rsidRDefault="00333EB3" w:rsidP="009A7FB6"/>
        </w:tc>
        <w:tc>
          <w:tcPr>
            <w:tcW w:w="5474" w:type="dxa"/>
          </w:tcPr>
          <w:p w14:paraId="3F31F590" w14:textId="77777777" w:rsidR="00333EB3" w:rsidRDefault="00333EB3" w:rsidP="009A7FB6"/>
        </w:tc>
      </w:tr>
      <w:tr w:rsidR="00333EB3" w14:paraId="7122A99D" w14:textId="77777777" w:rsidTr="005151E2">
        <w:trPr>
          <w:cnfStyle w:val="000000010000" w:firstRow="0" w:lastRow="0" w:firstColumn="0" w:lastColumn="0" w:oddVBand="0" w:evenVBand="0" w:oddHBand="0" w:evenHBand="1" w:firstRowFirstColumn="0" w:firstRowLastColumn="0" w:lastRowFirstColumn="0" w:lastRowLastColumn="0"/>
          <w:trHeight w:val="806"/>
        </w:trPr>
        <w:tc>
          <w:tcPr>
            <w:tcW w:w="2254" w:type="dxa"/>
          </w:tcPr>
          <w:p w14:paraId="5AB5E2DC" w14:textId="77777777" w:rsidR="00333EB3" w:rsidRDefault="00333EB3" w:rsidP="009A7FB6">
            <w:r>
              <w:t>Education</w:t>
            </w:r>
          </w:p>
        </w:tc>
        <w:tc>
          <w:tcPr>
            <w:tcW w:w="2254" w:type="dxa"/>
          </w:tcPr>
          <w:p w14:paraId="0ECD01A5" w14:textId="77777777" w:rsidR="00333EB3" w:rsidRDefault="00333EB3" w:rsidP="009A7FB6"/>
        </w:tc>
        <w:tc>
          <w:tcPr>
            <w:tcW w:w="4335" w:type="dxa"/>
          </w:tcPr>
          <w:p w14:paraId="69C4C3BF" w14:textId="77777777" w:rsidR="00333EB3" w:rsidRDefault="00333EB3" w:rsidP="009A7FB6"/>
        </w:tc>
        <w:tc>
          <w:tcPr>
            <w:tcW w:w="5474" w:type="dxa"/>
          </w:tcPr>
          <w:p w14:paraId="3C96680E" w14:textId="77777777" w:rsidR="00333EB3" w:rsidRDefault="00333EB3" w:rsidP="009A7FB6"/>
        </w:tc>
      </w:tr>
      <w:tr w:rsidR="00333EB3" w14:paraId="04E4FF3C" w14:textId="77777777" w:rsidTr="005151E2">
        <w:trPr>
          <w:cnfStyle w:val="000000100000" w:firstRow="0" w:lastRow="0" w:firstColumn="0" w:lastColumn="0" w:oddVBand="0" w:evenVBand="0" w:oddHBand="1" w:evenHBand="0" w:firstRowFirstColumn="0" w:firstRowLastColumn="0" w:lastRowFirstColumn="0" w:lastRowLastColumn="0"/>
          <w:trHeight w:val="806"/>
        </w:trPr>
        <w:tc>
          <w:tcPr>
            <w:tcW w:w="2254" w:type="dxa"/>
          </w:tcPr>
          <w:p w14:paraId="59D1E5A4" w14:textId="77777777" w:rsidR="00333EB3" w:rsidRDefault="00333EB3" w:rsidP="009A7FB6">
            <w:r>
              <w:t>Discipline</w:t>
            </w:r>
          </w:p>
        </w:tc>
        <w:tc>
          <w:tcPr>
            <w:tcW w:w="2254" w:type="dxa"/>
          </w:tcPr>
          <w:p w14:paraId="6463BD49" w14:textId="77777777" w:rsidR="00333EB3" w:rsidRDefault="00333EB3" w:rsidP="009A7FB6"/>
        </w:tc>
        <w:tc>
          <w:tcPr>
            <w:tcW w:w="4335" w:type="dxa"/>
          </w:tcPr>
          <w:p w14:paraId="61618B42" w14:textId="77777777" w:rsidR="00333EB3" w:rsidRDefault="00333EB3" w:rsidP="009A7FB6"/>
        </w:tc>
        <w:tc>
          <w:tcPr>
            <w:tcW w:w="5474" w:type="dxa"/>
          </w:tcPr>
          <w:p w14:paraId="762858D6" w14:textId="77777777" w:rsidR="00333EB3" w:rsidRDefault="00333EB3" w:rsidP="009A7FB6"/>
        </w:tc>
      </w:tr>
      <w:tr w:rsidR="00333EB3" w14:paraId="5C10826C" w14:textId="77777777" w:rsidTr="005151E2">
        <w:trPr>
          <w:cnfStyle w:val="000000010000" w:firstRow="0" w:lastRow="0" w:firstColumn="0" w:lastColumn="0" w:oddVBand="0" w:evenVBand="0" w:oddHBand="0" w:evenHBand="1" w:firstRowFirstColumn="0" w:firstRowLastColumn="0" w:lastRowFirstColumn="0" w:lastRowLastColumn="0"/>
          <w:trHeight w:val="806"/>
        </w:trPr>
        <w:tc>
          <w:tcPr>
            <w:tcW w:w="2254" w:type="dxa"/>
          </w:tcPr>
          <w:p w14:paraId="60204D14" w14:textId="77777777" w:rsidR="00333EB3" w:rsidRDefault="00333EB3" w:rsidP="009A7FB6">
            <w:r>
              <w:t>Ethics</w:t>
            </w:r>
          </w:p>
        </w:tc>
        <w:tc>
          <w:tcPr>
            <w:tcW w:w="2254" w:type="dxa"/>
          </w:tcPr>
          <w:p w14:paraId="5239DF84" w14:textId="77777777" w:rsidR="00333EB3" w:rsidRDefault="00333EB3" w:rsidP="009A7FB6"/>
        </w:tc>
        <w:tc>
          <w:tcPr>
            <w:tcW w:w="4335" w:type="dxa"/>
          </w:tcPr>
          <w:p w14:paraId="1140B056" w14:textId="77777777" w:rsidR="00333EB3" w:rsidRDefault="00333EB3" w:rsidP="009A7FB6"/>
        </w:tc>
        <w:tc>
          <w:tcPr>
            <w:tcW w:w="5474" w:type="dxa"/>
          </w:tcPr>
          <w:p w14:paraId="79B97D80" w14:textId="77777777" w:rsidR="00333EB3" w:rsidRDefault="00333EB3" w:rsidP="009A7FB6"/>
        </w:tc>
      </w:tr>
      <w:tr w:rsidR="00333EB3" w14:paraId="4FCF1BC1" w14:textId="77777777" w:rsidTr="005151E2">
        <w:trPr>
          <w:cnfStyle w:val="000000100000" w:firstRow="0" w:lastRow="0" w:firstColumn="0" w:lastColumn="0" w:oddVBand="0" w:evenVBand="0" w:oddHBand="1" w:evenHBand="0" w:firstRowFirstColumn="0" w:firstRowLastColumn="0" w:lastRowFirstColumn="0" w:lastRowLastColumn="0"/>
          <w:trHeight w:val="806"/>
        </w:trPr>
        <w:tc>
          <w:tcPr>
            <w:tcW w:w="2254" w:type="dxa"/>
          </w:tcPr>
          <w:p w14:paraId="00684ADF" w14:textId="77777777" w:rsidR="00333EB3" w:rsidRDefault="00333EB3" w:rsidP="009A7FB6">
            <w:r>
              <w:t>Conflict within the community</w:t>
            </w:r>
          </w:p>
        </w:tc>
        <w:tc>
          <w:tcPr>
            <w:tcW w:w="2254" w:type="dxa"/>
          </w:tcPr>
          <w:p w14:paraId="3C0CF420" w14:textId="77777777" w:rsidR="00333EB3" w:rsidRDefault="00333EB3" w:rsidP="009A7FB6"/>
        </w:tc>
        <w:tc>
          <w:tcPr>
            <w:tcW w:w="4335" w:type="dxa"/>
          </w:tcPr>
          <w:p w14:paraId="57FE426C" w14:textId="77777777" w:rsidR="00333EB3" w:rsidRDefault="00333EB3" w:rsidP="009A7FB6"/>
        </w:tc>
        <w:tc>
          <w:tcPr>
            <w:tcW w:w="5474" w:type="dxa"/>
          </w:tcPr>
          <w:p w14:paraId="50470672" w14:textId="77777777" w:rsidR="00333EB3" w:rsidRDefault="00333EB3" w:rsidP="009A7FB6"/>
        </w:tc>
      </w:tr>
      <w:tr w:rsidR="00333EB3" w14:paraId="14C68C0E" w14:textId="77777777" w:rsidTr="005151E2">
        <w:trPr>
          <w:cnfStyle w:val="000000010000" w:firstRow="0" w:lastRow="0" w:firstColumn="0" w:lastColumn="0" w:oddVBand="0" w:evenVBand="0" w:oddHBand="0" w:evenHBand="1" w:firstRowFirstColumn="0" w:firstRowLastColumn="0" w:lastRowFirstColumn="0" w:lastRowLastColumn="0"/>
          <w:trHeight w:val="806"/>
        </w:trPr>
        <w:tc>
          <w:tcPr>
            <w:tcW w:w="2254" w:type="dxa"/>
          </w:tcPr>
          <w:p w14:paraId="57689ADF" w14:textId="77777777" w:rsidR="00333EB3" w:rsidRPr="009F65F7" w:rsidRDefault="00333EB3" w:rsidP="009A7FB6">
            <w:pPr>
              <w:rPr>
                <w:i/>
              </w:rPr>
            </w:pPr>
            <w:r w:rsidRPr="009F65F7">
              <w:rPr>
                <w:i/>
              </w:rPr>
              <w:t>Ordnung</w:t>
            </w:r>
          </w:p>
        </w:tc>
        <w:tc>
          <w:tcPr>
            <w:tcW w:w="2254" w:type="dxa"/>
          </w:tcPr>
          <w:p w14:paraId="630A3C18" w14:textId="77777777" w:rsidR="00333EB3" w:rsidRDefault="00333EB3" w:rsidP="009A7FB6"/>
        </w:tc>
        <w:tc>
          <w:tcPr>
            <w:tcW w:w="4335" w:type="dxa"/>
          </w:tcPr>
          <w:p w14:paraId="1AB051D1" w14:textId="77777777" w:rsidR="00333EB3" w:rsidRDefault="00333EB3" w:rsidP="009A7FB6"/>
        </w:tc>
        <w:tc>
          <w:tcPr>
            <w:tcW w:w="5474" w:type="dxa"/>
          </w:tcPr>
          <w:p w14:paraId="793F8462" w14:textId="77777777" w:rsidR="00333EB3" w:rsidRDefault="00333EB3" w:rsidP="009A7FB6"/>
        </w:tc>
      </w:tr>
      <w:tr w:rsidR="00333EB3" w14:paraId="043497FD" w14:textId="77777777" w:rsidTr="005151E2">
        <w:trPr>
          <w:cnfStyle w:val="000000100000" w:firstRow="0" w:lastRow="0" w:firstColumn="0" w:lastColumn="0" w:oddVBand="0" w:evenVBand="0" w:oddHBand="1" w:evenHBand="0" w:firstRowFirstColumn="0" w:firstRowLastColumn="0" w:lastRowFirstColumn="0" w:lastRowLastColumn="0"/>
          <w:trHeight w:val="806"/>
        </w:trPr>
        <w:tc>
          <w:tcPr>
            <w:tcW w:w="2254" w:type="dxa"/>
          </w:tcPr>
          <w:p w14:paraId="1FF7B0A8" w14:textId="77777777" w:rsidR="00333EB3" w:rsidRPr="009F65F7" w:rsidRDefault="00333EB3" w:rsidP="009A7FB6">
            <w:pPr>
              <w:rPr>
                <w:i/>
              </w:rPr>
            </w:pPr>
            <w:r>
              <w:rPr>
                <w:i/>
              </w:rPr>
              <w:t>rumspringa</w:t>
            </w:r>
          </w:p>
        </w:tc>
        <w:tc>
          <w:tcPr>
            <w:tcW w:w="2254" w:type="dxa"/>
          </w:tcPr>
          <w:p w14:paraId="7C40E004" w14:textId="77777777" w:rsidR="00333EB3" w:rsidRDefault="00333EB3" w:rsidP="009A7FB6"/>
        </w:tc>
        <w:tc>
          <w:tcPr>
            <w:tcW w:w="4335" w:type="dxa"/>
          </w:tcPr>
          <w:p w14:paraId="5FDEE220" w14:textId="77777777" w:rsidR="00333EB3" w:rsidRDefault="00333EB3" w:rsidP="009A7FB6"/>
        </w:tc>
        <w:tc>
          <w:tcPr>
            <w:tcW w:w="5474" w:type="dxa"/>
          </w:tcPr>
          <w:p w14:paraId="0495DC64" w14:textId="77777777" w:rsidR="00333EB3" w:rsidRDefault="00333EB3" w:rsidP="009A7FB6"/>
        </w:tc>
      </w:tr>
      <w:tr w:rsidR="00333EB3" w14:paraId="08ACFA6C" w14:textId="77777777" w:rsidTr="005151E2">
        <w:trPr>
          <w:cnfStyle w:val="000000010000" w:firstRow="0" w:lastRow="0" w:firstColumn="0" w:lastColumn="0" w:oddVBand="0" w:evenVBand="0" w:oddHBand="0" w:evenHBand="1" w:firstRowFirstColumn="0" w:firstRowLastColumn="0" w:lastRowFirstColumn="0" w:lastRowLastColumn="0"/>
          <w:trHeight w:val="806"/>
        </w:trPr>
        <w:tc>
          <w:tcPr>
            <w:tcW w:w="2254" w:type="dxa"/>
          </w:tcPr>
          <w:p w14:paraId="70B7661A" w14:textId="77777777" w:rsidR="00333EB3" w:rsidRPr="00C809ED" w:rsidRDefault="00333EB3" w:rsidP="009A7FB6">
            <w:r>
              <w:t>Dating</w:t>
            </w:r>
          </w:p>
        </w:tc>
        <w:tc>
          <w:tcPr>
            <w:tcW w:w="2254" w:type="dxa"/>
          </w:tcPr>
          <w:p w14:paraId="46D4DF31" w14:textId="77777777" w:rsidR="00333EB3" w:rsidRDefault="00333EB3" w:rsidP="009A7FB6"/>
        </w:tc>
        <w:tc>
          <w:tcPr>
            <w:tcW w:w="4335" w:type="dxa"/>
          </w:tcPr>
          <w:p w14:paraId="6F833C6E" w14:textId="77777777" w:rsidR="00333EB3" w:rsidRDefault="00333EB3" w:rsidP="009A7FB6"/>
        </w:tc>
        <w:tc>
          <w:tcPr>
            <w:tcW w:w="5474" w:type="dxa"/>
          </w:tcPr>
          <w:p w14:paraId="18B23BCE" w14:textId="77777777" w:rsidR="00333EB3" w:rsidRDefault="00333EB3" w:rsidP="009A7FB6"/>
        </w:tc>
      </w:tr>
    </w:tbl>
    <w:p w14:paraId="32972E59" w14:textId="77777777" w:rsidR="00333EB3" w:rsidRDefault="00333EB3">
      <w:pPr>
        <w:rPr>
          <w:lang w:eastAsia="zh-CN"/>
        </w:rPr>
      </w:pPr>
      <w:r>
        <w:rPr>
          <w:lang w:eastAsia="zh-CN"/>
        </w:rPr>
        <w:br w:type="page"/>
      </w:r>
    </w:p>
    <w:p w14:paraId="0BE63A51" w14:textId="77777777" w:rsidR="00333EB3" w:rsidRDefault="00333EB3" w:rsidP="00333EB3">
      <w:pPr>
        <w:pStyle w:val="Heading3"/>
      </w:pPr>
      <w:r>
        <w:lastRenderedPageBreak/>
        <w:t>1.2 Comparison of the experience of adolescence</w:t>
      </w:r>
    </w:p>
    <w:p w14:paraId="1A57DA98" w14:textId="77777777" w:rsidR="00333EB3" w:rsidRDefault="00333EB3" w:rsidP="00333EB3">
      <w:pPr>
        <w:pStyle w:val="FeatureBox2"/>
      </w:pPr>
      <w:r w:rsidRPr="00333EB3">
        <w:rPr>
          <w:rStyle w:val="Strong"/>
        </w:rPr>
        <w:t>Teachers’ note:</w:t>
      </w:r>
      <w:r>
        <w:t xml:space="preserve"> websites which may be used for further research are included on the final page of this document. The extended response should be used to provide feedback to the students on their capacity to identify and describe relationships within social groups.</w:t>
      </w:r>
    </w:p>
    <w:p w14:paraId="3769B04B" w14:textId="77777777" w:rsidR="00333EB3" w:rsidRDefault="00333EB3" w:rsidP="00333EB3">
      <w:pPr>
        <w:pStyle w:val="Heading4"/>
      </w:pPr>
      <w:r>
        <w:t>Activities:</w:t>
      </w:r>
    </w:p>
    <w:p w14:paraId="6C9CF420" w14:textId="08201ADC" w:rsidR="00333EB3" w:rsidRDefault="00333EB3" w:rsidP="00333EB3">
      <w:pPr>
        <w:pStyle w:val="ListBullet"/>
        <w:rPr>
          <w:lang w:eastAsia="zh-CN"/>
        </w:rPr>
      </w:pPr>
      <w:r>
        <w:rPr>
          <w:lang w:eastAsia="zh-CN"/>
        </w:rPr>
        <w:t xml:space="preserve">Create a </w:t>
      </w:r>
      <w:hyperlink r:id="rId12" w:history="1">
        <w:r w:rsidRPr="00333EB3">
          <w:rPr>
            <w:rStyle w:val="Hyperlink"/>
            <w:lang w:eastAsia="zh-CN"/>
          </w:rPr>
          <w:t>Venn diagram</w:t>
        </w:r>
      </w:hyperlink>
      <w:r>
        <w:rPr>
          <w:lang w:eastAsia="zh-CN"/>
        </w:rPr>
        <w:t xml:space="preserve"> to examine the similarities and differences in attitudes to conflict/cooperation, and gender between your own culture and that of the Amish. Use worksheet 1.2 Comparison of Amish and Australian communities.</w:t>
      </w:r>
    </w:p>
    <w:p w14:paraId="5D61A0B4" w14:textId="77BB8244" w:rsidR="00333EB3" w:rsidRPr="00333EB3" w:rsidRDefault="00333EB3" w:rsidP="00333EB3">
      <w:pPr>
        <w:pStyle w:val="ListBullet"/>
        <w:rPr>
          <w:lang w:eastAsia="zh-CN"/>
        </w:rPr>
      </w:pPr>
      <w:r>
        <w:rPr>
          <w:lang w:eastAsia="zh-CN"/>
        </w:rPr>
        <w:t>Using the information collated in Worksheet 1.2, compare and contrast your experience of adolescence in contemporary Australian society with the experiences of an adolescent in the Amish community. This should be approximately 800 words long.</w:t>
      </w:r>
    </w:p>
    <w:p w14:paraId="54ABB96D" w14:textId="1CBE2088" w:rsidR="00333EB3" w:rsidRDefault="00333EB3">
      <w:r>
        <w:br w:type="page"/>
      </w:r>
    </w:p>
    <w:p w14:paraId="7B9B90F4" w14:textId="77777777" w:rsidR="00333EB3" w:rsidRDefault="00333EB3" w:rsidP="00333EB3">
      <w:pPr>
        <w:pStyle w:val="Heading4"/>
      </w:pPr>
      <w:r>
        <w:lastRenderedPageBreak/>
        <w:t>Worksheet 1.2 Comparison of Amish and Australian communities</w:t>
      </w:r>
    </w:p>
    <w:p w14:paraId="44F2BFAC" w14:textId="50A2CC3D" w:rsidR="00086656" w:rsidRDefault="00333EB3" w:rsidP="00333EB3">
      <w:r>
        <w:t>Use the Venn diagram below to identify similarities and differences between Amish and Australian communities</w:t>
      </w:r>
    </w:p>
    <w:p w14:paraId="10821881" w14:textId="018298F3" w:rsidR="00333EB3" w:rsidRDefault="00333EB3" w:rsidP="00333EB3">
      <w:r>
        <w:rPr>
          <w:noProof/>
          <w:lang w:eastAsia="en-AU"/>
        </w:rPr>
        <w:drawing>
          <wp:inline distT="0" distB="0" distL="0" distR="0" wp14:anchorId="2AF78413" wp14:editId="53352307">
            <wp:extent cx="6116320" cy="4097661"/>
            <wp:effectExtent l="0" t="0" r="0" b="0"/>
            <wp:docPr id="2097763651" name="Picture 2" descr="Image result for 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116320" cy="4097661"/>
                    </a:xfrm>
                    <a:prstGeom prst="rect">
                      <a:avLst/>
                    </a:prstGeom>
                  </pic:spPr>
                </pic:pic>
              </a:graphicData>
            </a:graphic>
          </wp:inline>
        </w:drawing>
      </w:r>
    </w:p>
    <w:p w14:paraId="167CA0DE" w14:textId="77777777" w:rsidR="00333EB3" w:rsidRDefault="00333EB3">
      <w:r>
        <w:br w:type="page"/>
      </w:r>
    </w:p>
    <w:p w14:paraId="0A325B4D" w14:textId="7AC06C06" w:rsidR="00333EB3" w:rsidRDefault="00333EB3" w:rsidP="00333EB3">
      <w:pPr>
        <w:pStyle w:val="Heading3"/>
      </w:pPr>
      <w:r w:rsidRPr="00333EB3">
        <w:lastRenderedPageBreak/>
        <w:t>Resources</w:t>
      </w:r>
    </w:p>
    <w:p w14:paraId="6B97428B" w14:textId="28E75D05" w:rsidR="00333EB3" w:rsidRDefault="004C39BF" w:rsidP="00333EB3">
      <w:pPr>
        <w:pStyle w:val="ListBullet"/>
      </w:pPr>
      <w:hyperlink r:id="rId14" w:history="1">
        <w:r w:rsidR="00333EB3" w:rsidRPr="004C39BF">
          <w:rPr>
            <w:rStyle w:val="Hyperlink"/>
          </w:rPr>
          <w:t>BBC UK religion, The Amish</w:t>
        </w:r>
      </w:hyperlink>
      <w:r w:rsidR="00333EB3">
        <w:t xml:space="preserve"> </w:t>
      </w:r>
    </w:p>
    <w:p w14:paraId="24E0B12E" w14:textId="1E895973" w:rsidR="00333EB3" w:rsidRDefault="004C39BF" w:rsidP="00333EB3">
      <w:pPr>
        <w:pStyle w:val="ListBullet"/>
      </w:pPr>
      <w:hyperlink r:id="rId15" w:history="1">
        <w:r w:rsidR="00333EB3" w:rsidRPr="004C39BF">
          <w:rPr>
            <w:rStyle w:val="Hyperlink"/>
          </w:rPr>
          <w:t>Sydney Morning Herald – Meet the McCallums</w:t>
        </w:r>
      </w:hyperlink>
      <w:r w:rsidR="00333EB3">
        <w:t xml:space="preserve"> </w:t>
      </w:r>
    </w:p>
    <w:p w14:paraId="5AF9EDBA" w14:textId="1CFA60B5" w:rsidR="00333EB3" w:rsidRDefault="004C39BF" w:rsidP="00333EB3">
      <w:pPr>
        <w:pStyle w:val="ListBullet"/>
      </w:pPr>
      <w:hyperlink r:id="rId16" w:history="1">
        <w:r w:rsidR="00333EB3" w:rsidRPr="004C39BF">
          <w:rPr>
            <w:rStyle w:val="Hyperlink"/>
          </w:rPr>
          <w:t>Lancaster Pennsylvania</w:t>
        </w:r>
      </w:hyperlink>
      <w:r w:rsidR="00333EB3" w:rsidRPr="00944E4E">
        <w:t xml:space="preserve"> (The Amish) website</w:t>
      </w:r>
      <w:r w:rsidR="00333EB3">
        <w:rPr>
          <w:rStyle w:val="Hyperlink"/>
        </w:rPr>
        <w:t xml:space="preserve"> </w:t>
      </w:r>
    </w:p>
    <w:p w14:paraId="4121E55E" w14:textId="6112A77E" w:rsidR="00333EB3" w:rsidRDefault="004C39BF" w:rsidP="00333EB3">
      <w:pPr>
        <w:pStyle w:val="ListBullet"/>
      </w:pPr>
      <w:hyperlink r:id="rId17" w:history="1">
        <w:r w:rsidR="00333EB3" w:rsidRPr="004C39BF">
          <w:rPr>
            <w:rStyle w:val="Hyperlink"/>
          </w:rPr>
          <w:t>Amish America</w:t>
        </w:r>
      </w:hyperlink>
      <w:r w:rsidR="00333EB3">
        <w:t xml:space="preserve"> </w:t>
      </w:r>
    </w:p>
    <w:p w14:paraId="4C691719" w14:textId="71736240" w:rsidR="00333EB3" w:rsidRDefault="004C39BF" w:rsidP="00333EB3">
      <w:pPr>
        <w:pStyle w:val="ListBullet"/>
      </w:pPr>
      <w:hyperlink r:id="rId18" w:history="1">
        <w:r w:rsidR="00333EB3" w:rsidRPr="004C39BF">
          <w:rPr>
            <w:rStyle w:val="Hyperlink"/>
          </w:rPr>
          <w:t>Pennsylvania’s Amish Country</w:t>
        </w:r>
      </w:hyperlink>
      <w:r w:rsidR="00333EB3">
        <w:t xml:space="preserve"> (</w:t>
      </w:r>
      <w:r>
        <w:t xml:space="preserve">video </w:t>
      </w:r>
      <w:r w:rsidR="00333EB3">
        <w:t xml:space="preserve">duration 2:28) </w:t>
      </w:r>
    </w:p>
    <w:p w14:paraId="76A7ECA6" w14:textId="2C70702C" w:rsidR="00333EB3" w:rsidRDefault="004C39BF" w:rsidP="00333EB3">
      <w:pPr>
        <w:pStyle w:val="ListBullet"/>
      </w:pPr>
      <w:hyperlink r:id="rId19" w:history="1">
        <w:r w:rsidR="00333EB3" w:rsidRPr="004C39BF">
          <w:rPr>
            <w:rStyle w:val="Hyperlink"/>
          </w:rPr>
          <w:t>The Amish – The America</w:t>
        </w:r>
        <w:r w:rsidR="00333EB3" w:rsidRPr="004C39BF">
          <w:rPr>
            <w:rStyle w:val="Hyperlink"/>
          </w:rPr>
          <w:t>n</w:t>
        </w:r>
        <w:r w:rsidR="00333EB3" w:rsidRPr="004C39BF">
          <w:rPr>
            <w:rStyle w:val="Hyperlink"/>
          </w:rPr>
          <w:t xml:space="preserve"> Experience</w:t>
        </w:r>
      </w:hyperlink>
      <w:r w:rsidR="00333EB3">
        <w:t xml:space="preserve"> </w:t>
      </w:r>
      <w:r>
        <w:t>(video duration 12:30)</w:t>
      </w:r>
    </w:p>
    <w:p w14:paraId="232EA2F4" w14:textId="4D03DAA8" w:rsidR="00333EB3" w:rsidRPr="007E6B4E" w:rsidRDefault="004C39BF" w:rsidP="00333EB3">
      <w:pPr>
        <w:pStyle w:val="ListBullet"/>
      </w:pPr>
      <w:hyperlink r:id="rId20" w:history="1">
        <w:r w:rsidR="00333EB3" w:rsidRPr="004C39BF">
          <w:rPr>
            <w:rStyle w:val="Hyperlink"/>
          </w:rPr>
          <w:t>Venn Diagram</w:t>
        </w:r>
      </w:hyperlink>
      <w:r w:rsidR="00333EB3">
        <w:t xml:space="preserve"> </w:t>
      </w:r>
    </w:p>
    <w:p w14:paraId="42FD1977" w14:textId="77777777" w:rsidR="00333EB3" w:rsidRPr="00333EB3" w:rsidRDefault="00333EB3" w:rsidP="00333EB3">
      <w:pPr>
        <w:rPr>
          <w:lang w:eastAsia="zh-CN"/>
        </w:rPr>
      </w:pPr>
    </w:p>
    <w:p w14:paraId="5AF5799A" w14:textId="77777777" w:rsidR="00493120" w:rsidRDefault="00493120">
      <w:pPr>
        <w:rPr>
          <w:rFonts w:eastAsiaTheme="majorEastAsia" w:cs="Arial"/>
          <w:sz w:val="52"/>
          <w:szCs w:val="32"/>
          <w:lang w:eastAsia="zh-CN"/>
        </w:rPr>
      </w:pPr>
      <w:bookmarkStart w:id="0" w:name="_GoBack"/>
      <w:bookmarkEnd w:id="0"/>
    </w:p>
    <w:sectPr w:rsidR="00493120" w:rsidSect="001A7A7B">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76DFB" w14:textId="77777777" w:rsidR="00E072E8" w:rsidRDefault="00E072E8">
      <w:r>
        <w:separator/>
      </w:r>
    </w:p>
    <w:p w14:paraId="5CB3095A" w14:textId="77777777" w:rsidR="00E072E8" w:rsidRDefault="00E072E8"/>
  </w:endnote>
  <w:endnote w:type="continuationSeparator" w:id="0">
    <w:p w14:paraId="0D3FBF52" w14:textId="77777777" w:rsidR="00E072E8" w:rsidRDefault="00E072E8">
      <w:r>
        <w:continuationSeparator/>
      </w:r>
    </w:p>
    <w:p w14:paraId="619B59AB" w14:textId="77777777" w:rsidR="00E072E8" w:rsidRDefault="00E07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4AC8" w14:textId="4710161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4C39BF">
      <w:rPr>
        <w:noProof/>
      </w:rPr>
      <w:t>6</w:t>
    </w:r>
    <w:r w:rsidRPr="002810D3">
      <w:fldChar w:fldCharType="end"/>
    </w:r>
    <w:r w:rsidRPr="002810D3">
      <w:tab/>
    </w:r>
    <w:r w:rsidR="00333EB3" w:rsidRPr="00333EB3">
      <w:t>The social and cultural world – stage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3464" w14:textId="445D9638"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C39BF">
      <w:rPr>
        <w:noProof/>
      </w:rPr>
      <w:t>Apr-20</w:t>
    </w:r>
    <w:r w:rsidRPr="002810D3">
      <w:fldChar w:fldCharType="end"/>
    </w:r>
    <w:r w:rsidR="001A7A7B">
      <w:t>20</w:t>
    </w:r>
    <w:r w:rsidRPr="002810D3">
      <w:tab/>
    </w:r>
    <w:r w:rsidRPr="002810D3">
      <w:fldChar w:fldCharType="begin"/>
    </w:r>
    <w:r w:rsidRPr="002810D3">
      <w:instrText xml:space="preserve"> PAGE </w:instrText>
    </w:r>
    <w:r w:rsidRPr="002810D3">
      <w:fldChar w:fldCharType="separate"/>
    </w:r>
    <w:r w:rsidR="004C39BF">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8683"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7DC6305D" wp14:editId="373A4E9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13F" w14:textId="77777777" w:rsidR="00E072E8" w:rsidRDefault="00E072E8">
      <w:r>
        <w:separator/>
      </w:r>
    </w:p>
    <w:p w14:paraId="0940D5D1" w14:textId="77777777" w:rsidR="00E072E8" w:rsidRDefault="00E072E8"/>
  </w:footnote>
  <w:footnote w:type="continuationSeparator" w:id="0">
    <w:p w14:paraId="0EA4533B" w14:textId="77777777" w:rsidR="00E072E8" w:rsidRDefault="00E072E8">
      <w:r>
        <w:continuationSeparator/>
      </w:r>
    </w:p>
    <w:p w14:paraId="5119C23E" w14:textId="77777777" w:rsidR="00E072E8" w:rsidRDefault="00E072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9FF1" w14:textId="77777777" w:rsidR="00590AD0" w:rsidRDefault="00590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5396" w14:textId="77777777" w:rsidR="00590AD0" w:rsidRDefault="00590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zNDMzNjI1tzQxNDBR0lEKTi0uzszPAykwrAUAsplpjiwAAAA="/>
  </w:docVars>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3EB3"/>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39BF"/>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1E2"/>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0AD0"/>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B4F"/>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072E8"/>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65CA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bullet 2"/>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 emphasis"/>
    <w:basedOn w:val="DefaultParagraphFont"/>
    <w:uiPriority w:val="28"/>
    <w:qFormat/>
    <w:rsid w:val="00F740FA"/>
    <w:rPr>
      <w:rFonts w:ascii="Arial" w:hAnsi="Arial"/>
      <w:b/>
      <w:bCs/>
      <w:sz w:val="24"/>
    </w:rPr>
  </w:style>
  <w:style w:type="paragraph" w:styleId="ListBullet">
    <w:name w:val="List Bullet"/>
    <w:aliases w:val="ŠList 1 bullet,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FollowedHyperlink">
    <w:name w:val="FollowedHyperlink"/>
    <w:basedOn w:val="DefaultParagraphFont"/>
    <w:uiPriority w:val="99"/>
    <w:semiHidden/>
    <w:unhideWhenUsed/>
    <w:rsid w:val="004C3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hsie/geography-k-10" TargetMode="External"/><Relationship Id="rId13" Type="http://schemas.openxmlformats.org/officeDocument/2006/relationships/image" Target="media/image1.jpg"/><Relationship Id="rId18" Type="http://schemas.openxmlformats.org/officeDocument/2006/relationships/hyperlink" Target="http://www.youtube.com/watch?v=JQdb0giFVsQ"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eachstarter.com/au/teaching-resource/compare-and-contrast-venn-diagram-template/" TargetMode="External"/><Relationship Id="rId17" Type="http://schemas.openxmlformats.org/officeDocument/2006/relationships/hyperlink" Target="file:///C:\Users\msidhu1\Downloads\amishamerica.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msidhu1\Downloads\lancasterpa.com\amish\amish-people" TargetMode="External"/><Relationship Id="rId20" Type="http://schemas.openxmlformats.org/officeDocument/2006/relationships/hyperlink" Target="file:///C:\Users\msidhu1\Downloads\teachstarter.com\au\teaching-resource\compare-and-contrast-venn-diagram-templ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s.com.au/ondemand/video/1298328643769/insight-spotlight-emma-gingeric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msidhu1\Downloads\smh.com.au\national\meet-the-mccallums-one-of-australia-s-few-amish-famili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mh.com.au/national/meet-the-mccallums-one-of-australia-s-few-amish-families-20181016-p509xn.html" TargetMode="External"/><Relationship Id="rId19" Type="http://schemas.openxmlformats.org/officeDocument/2006/relationships/hyperlink" Target="http://www.youtube.com/watch?v=iSOn7NXWTbk" TargetMode="External"/><Relationship Id="rId4" Type="http://schemas.openxmlformats.org/officeDocument/2006/relationships/settings" Target="settings.xml"/><Relationship Id="rId9" Type="http://schemas.openxmlformats.org/officeDocument/2006/relationships/hyperlink" Target="https://www.bbc.co.uk/religion/religions/christianity/subdivisions/amish_1.shtml" TargetMode="External"/><Relationship Id="rId14" Type="http://schemas.openxmlformats.org/officeDocument/2006/relationships/hyperlink" Target="file:///C:\Users\msidhu1\Downloads\bbc.co.uk\religion\religions\christianity\subdivisions\amish"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775B3-7930-435C-A097-9E53C1C6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2020-04-15T04:54:00Z</dcterms:created>
  <dcterms:modified xsi:type="dcterms:W3CDTF">2020-04-15T04:54:00Z</dcterms:modified>
  <cp:category/>
</cp:coreProperties>
</file>