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2B600" w14:textId="22A96DF1" w:rsidR="00856CD8" w:rsidRDefault="00421646" w:rsidP="00856CD8">
      <w:pPr>
        <w:pStyle w:val="Heading1"/>
      </w:pPr>
      <w:r>
        <w:t>Against all odds: Inside Statistics – Designing Experiments</w:t>
      </w:r>
    </w:p>
    <w:p w14:paraId="6ABB658F" w14:textId="32AF9F3A" w:rsidR="00250E49" w:rsidRDefault="00592F55" w:rsidP="0026503F">
      <w:pPr>
        <w:pStyle w:val="FeatureBox"/>
      </w:pPr>
      <w:r>
        <w:rPr>
          <w:rStyle w:val="Strong"/>
        </w:rPr>
        <w:t xml:space="preserve">ABC ME </w:t>
      </w:r>
      <w:r w:rsidR="00807D61">
        <w:rPr>
          <w:rStyle w:val="Strong"/>
        </w:rPr>
        <w:t>s</w:t>
      </w:r>
      <w:r w:rsidR="00250E49">
        <w:rPr>
          <w:rStyle w:val="Strong"/>
        </w:rPr>
        <w:t xml:space="preserve">creening </w:t>
      </w:r>
      <w:r w:rsidR="00807D61">
        <w:rPr>
          <w:rStyle w:val="Strong"/>
        </w:rPr>
        <w:t>details</w:t>
      </w:r>
      <w:r w:rsidR="00250E49" w:rsidRPr="005203DC">
        <w:rPr>
          <w:rStyle w:val="Strong"/>
        </w:rPr>
        <w:t>:</w:t>
      </w:r>
      <w:r w:rsidR="00250E49">
        <w:rPr>
          <w:rStyle w:val="Strong"/>
        </w:rPr>
        <w:t xml:space="preserve"> </w:t>
      </w:r>
      <w:r w:rsidR="00421646">
        <w:rPr>
          <w:rStyle w:val="Strong"/>
          <w:b w:val="0"/>
        </w:rPr>
        <w:t>Mon</w:t>
      </w:r>
      <w:r w:rsidR="007D3B29">
        <w:rPr>
          <w:rStyle w:val="Strong"/>
          <w:b w:val="0"/>
        </w:rPr>
        <w:t>day</w:t>
      </w:r>
      <w:r w:rsidR="00421646">
        <w:t xml:space="preserve"> 1</w:t>
      </w:r>
      <w:r w:rsidR="00250E49" w:rsidRPr="00250E49">
        <w:t xml:space="preserve"> </w:t>
      </w:r>
      <w:r w:rsidR="00421646">
        <w:t>June</w:t>
      </w:r>
      <w:r w:rsidR="00076473">
        <w:t xml:space="preserve">, 2020 at </w:t>
      </w:r>
      <w:r w:rsidR="00421646">
        <w:t>2:50p</w:t>
      </w:r>
      <w:r w:rsidR="00250E49">
        <w:t>m</w:t>
      </w:r>
    </w:p>
    <w:p w14:paraId="7FCE5DDE" w14:textId="3E034355" w:rsidR="0026503F" w:rsidRDefault="0026503F" w:rsidP="0026503F">
      <w:pPr>
        <w:pStyle w:val="FeatureBox"/>
      </w:pPr>
      <w:r>
        <w:t xml:space="preserve">This episode can also be viewed on </w:t>
      </w:r>
      <w:hyperlink r:id="rId10" w:history="1">
        <w:r w:rsidRPr="00F071CD">
          <w:rPr>
            <w:rStyle w:val="Hyperlink"/>
          </w:rPr>
          <w:t>ABC iView</w:t>
        </w:r>
      </w:hyperlink>
      <w:r>
        <w:t xml:space="preserve"> after the scheduled screening time.</w:t>
      </w:r>
    </w:p>
    <w:p w14:paraId="4C2FB171" w14:textId="456772BC" w:rsidR="00F071CD" w:rsidRDefault="00F071CD" w:rsidP="0026503F">
      <w:pPr>
        <w:pStyle w:val="FeatureBox"/>
      </w:pPr>
      <w:r>
        <w:rPr>
          <w:rStyle w:val="Strong"/>
        </w:rPr>
        <w:t xml:space="preserve">Key learning areas: </w:t>
      </w:r>
      <w:r w:rsidR="00421646">
        <w:t>Mathematics</w:t>
      </w:r>
    </w:p>
    <w:p w14:paraId="5B1EE6A4" w14:textId="4E521204" w:rsidR="0026503F" w:rsidRPr="0026503F" w:rsidRDefault="0026503F" w:rsidP="0026503F">
      <w:pPr>
        <w:pStyle w:val="FeatureBox"/>
      </w:pPr>
      <w:r w:rsidRPr="0026503F">
        <w:rPr>
          <w:b/>
        </w:rPr>
        <w:t>Level:</w:t>
      </w:r>
      <w:r w:rsidR="00421646">
        <w:t xml:space="preserve"> S</w:t>
      </w:r>
      <w:r w:rsidRPr="0026503F">
        <w:t>econdary</w:t>
      </w:r>
    </w:p>
    <w:p w14:paraId="65B45B19" w14:textId="42CD9B86" w:rsidR="005203DC" w:rsidRDefault="005203DC" w:rsidP="0026503F">
      <w:pPr>
        <w:pStyle w:val="FeatureBox"/>
      </w:pPr>
      <w:r w:rsidRPr="4525DF94">
        <w:rPr>
          <w:rStyle w:val="Strong"/>
        </w:rPr>
        <w:t xml:space="preserve">About: </w:t>
      </w:r>
      <w:r w:rsidR="00421646">
        <w:rPr>
          <w:rStyle w:val="Strong"/>
          <w:b w:val="0"/>
        </w:rPr>
        <w:t>We move beyond observational studies – like one of marine life in the remote Line Islands – to designing experiments that manipulate various subject groups – as in the case of a medical study about osteoarthritis treatments.</w:t>
      </w:r>
    </w:p>
    <w:p w14:paraId="33808BD4" w14:textId="08828501" w:rsidR="00BE5959" w:rsidRDefault="00BE5959" w:rsidP="00BE5959">
      <w:pPr>
        <w:pStyle w:val="Heading2"/>
      </w:pPr>
      <w:r>
        <w:t>Before the episode</w:t>
      </w:r>
    </w:p>
    <w:p w14:paraId="12353149" w14:textId="3682C141" w:rsidR="00BE5959" w:rsidRPr="0026503F" w:rsidRDefault="00015814" w:rsidP="00421646">
      <w:pPr>
        <w:pStyle w:val="ListNumber"/>
        <w:numPr>
          <w:ilvl w:val="0"/>
          <w:numId w:val="0"/>
        </w:numPr>
      </w:pPr>
      <w:r>
        <w:t>Using a dictionary, write a</w:t>
      </w:r>
      <w:r w:rsidR="00421646">
        <w:t xml:space="preserve"> definition for </w:t>
      </w:r>
      <w:r>
        <w:t xml:space="preserve">each of </w:t>
      </w:r>
      <w:r w:rsidR="00421646">
        <w:t>the following terms:</w:t>
      </w:r>
    </w:p>
    <w:p w14:paraId="29793244" w14:textId="77777777" w:rsidR="00531D18" w:rsidRDefault="00421646" w:rsidP="00531D18">
      <w:pPr>
        <w:pStyle w:val="ListNumber"/>
        <w:numPr>
          <w:ilvl w:val="0"/>
          <w:numId w:val="40"/>
        </w:numPr>
      </w:pPr>
      <w:r>
        <w:t>Placebo</w:t>
      </w:r>
    </w:p>
    <w:p w14:paraId="24716552" w14:textId="77777777" w:rsidR="00531D18" w:rsidRDefault="00AA154D" w:rsidP="00531D18">
      <w:pPr>
        <w:pStyle w:val="ListNumber"/>
        <w:numPr>
          <w:ilvl w:val="0"/>
          <w:numId w:val="40"/>
        </w:numPr>
      </w:pPr>
      <w:r>
        <w:t>Experiment</w:t>
      </w:r>
    </w:p>
    <w:p w14:paraId="3A732022" w14:textId="77777777" w:rsidR="00531D18" w:rsidRDefault="00015814" w:rsidP="00531D18">
      <w:pPr>
        <w:pStyle w:val="ListNumber"/>
        <w:numPr>
          <w:ilvl w:val="0"/>
          <w:numId w:val="40"/>
        </w:numPr>
      </w:pPr>
      <w:r>
        <w:t>Bias</w:t>
      </w:r>
    </w:p>
    <w:p w14:paraId="7AEE9A26" w14:textId="77777777" w:rsidR="00531D18" w:rsidRDefault="00015814" w:rsidP="00531D18">
      <w:pPr>
        <w:pStyle w:val="ListNumber"/>
        <w:numPr>
          <w:ilvl w:val="0"/>
          <w:numId w:val="40"/>
        </w:numPr>
      </w:pPr>
      <w:r>
        <w:t>Variable</w:t>
      </w:r>
    </w:p>
    <w:p w14:paraId="69E87E73" w14:textId="05A76906" w:rsidR="00BE5959" w:rsidRDefault="00015814" w:rsidP="00925A64">
      <w:pPr>
        <w:pStyle w:val="ListNumber"/>
        <w:numPr>
          <w:ilvl w:val="0"/>
          <w:numId w:val="40"/>
        </w:numPr>
      </w:pPr>
      <w:r>
        <w:t>Random</w:t>
      </w:r>
    </w:p>
    <w:p w14:paraId="4DF805B6" w14:textId="535ECDDC" w:rsidR="00BE5959" w:rsidRDefault="00BE5959" w:rsidP="00BE5959">
      <w:pPr>
        <w:pStyle w:val="Heading2"/>
      </w:pPr>
      <w:r>
        <w:t>During</w:t>
      </w:r>
      <w:r w:rsidRPr="00BE5959">
        <w:t xml:space="preserve"> the episode</w:t>
      </w:r>
    </w:p>
    <w:p w14:paraId="4EA436FB" w14:textId="4EB4564F" w:rsidR="00AA154D" w:rsidRDefault="00AA154D" w:rsidP="0026503F">
      <w:pPr>
        <w:pStyle w:val="ListNumber"/>
        <w:numPr>
          <w:ilvl w:val="0"/>
          <w:numId w:val="35"/>
        </w:numPr>
      </w:pPr>
      <w:r>
        <w:t>Why were the Line Islands perfect for the observational study?</w:t>
      </w:r>
    </w:p>
    <w:p w14:paraId="3900D6C4" w14:textId="3EAC3142" w:rsidR="00AA154D" w:rsidRDefault="00AA154D" w:rsidP="0026503F">
      <w:pPr>
        <w:pStyle w:val="ListNumber"/>
        <w:numPr>
          <w:ilvl w:val="0"/>
          <w:numId w:val="35"/>
        </w:numPr>
      </w:pPr>
      <w:r>
        <w:t>What data did scientists collect during the study?</w:t>
      </w:r>
    </w:p>
    <w:p w14:paraId="6EEA9800" w14:textId="3289DE83" w:rsidR="00AA154D" w:rsidRDefault="00AA154D" w:rsidP="0026503F">
      <w:pPr>
        <w:pStyle w:val="ListNumber"/>
        <w:numPr>
          <w:ilvl w:val="0"/>
          <w:numId w:val="35"/>
        </w:numPr>
      </w:pPr>
      <w:r>
        <w:t>List at least one of the findings of the study.</w:t>
      </w:r>
    </w:p>
    <w:p w14:paraId="770C6150" w14:textId="77600085" w:rsidR="00BE5959" w:rsidRPr="0026503F" w:rsidRDefault="00AA154D" w:rsidP="0026503F">
      <w:pPr>
        <w:pStyle w:val="ListNumber"/>
        <w:numPr>
          <w:ilvl w:val="0"/>
          <w:numId w:val="35"/>
        </w:numPr>
      </w:pPr>
      <w:r>
        <w:t>List at least one feature of an observational study.</w:t>
      </w:r>
    </w:p>
    <w:p w14:paraId="2EA61950" w14:textId="00B483D2" w:rsidR="00BE5959" w:rsidRDefault="00015814" w:rsidP="0026503F">
      <w:pPr>
        <w:pStyle w:val="ListNumber"/>
      </w:pPr>
      <w:r>
        <w:t>What is the difference between an observational study and an experiment?</w:t>
      </w:r>
    </w:p>
    <w:p w14:paraId="2831C28B" w14:textId="1799BAFA" w:rsidR="00015814" w:rsidRPr="0026503F" w:rsidRDefault="00015814" w:rsidP="0026503F">
      <w:pPr>
        <w:pStyle w:val="ListNumber"/>
      </w:pPr>
      <w:r>
        <w:t>What is a ‘Double Blind Experiment’?</w:t>
      </w:r>
    </w:p>
    <w:p w14:paraId="4FF929B5" w14:textId="7F3C21EE" w:rsidR="00F071CD" w:rsidRDefault="00015814" w:rsidP="00925A64">
      <w:pPr>
        <w:pStyle w:val="ListNumber"/>
      </w:pPr>
      <w:r>
        <w:t>List the features of a well-designed experiment.</w:t>
      </w:r>
      <w:bookmarkStart w:id="0" w:name="_GoBack"/>
      <w:bookmarkEnd w:id="0"/>
    </w:p>
    <w:p w14:paraId="78D48525" w14:textId="07F501DD" w:rsidR="00BE5959" w:rsidRDefault="00BE5959" w:rsidP="00BE5959">
      <w:pPr>
        <w:pStyle w:val="Heading2"/>
      </w:pPr>
      <w:r>
        <w:t>After the episode</w:t>
      </w:r>
    </w:p>
    <w:p w14:paraId="47E6F453" w14:textId="3BFDC64C" w:rsidR="00531D18" w:rsidRDefault="00531D18" w:rsidP="00711B55">
      <w:pPr>
        <w:pStyle w:val="ListNumber"/>
        <w:numPr>
          <w:ilvl w:val="0"/>
          <w:numId w:val="41"/>
        </w:numPr>
      </w:pPr>
      <w:r>
        <w:t xml:space="preserve">If you were to determine the busiest street in your area would you conduct an Observational Study or an </w:t>
      </w:r>
      <w:r w:rsidR="00711B55">
        <w:t>Experiment?</w:t>
      </w:r>
      <w:r>
        <w:t xml:space="preserve"> Explain your reasoning.</w:t>
      </w:r>
    </w:p>
    <w:p w14:paraId="6D61E256" w14:textId="235AD41D" w:rsidR="00531D18" w:rsidRDefault="00711B55" w:rsidP="00925A64">
      <w:pPr>
        <w:pStyle w:val="ListNumber"/>
      </w:pPr>
      <w:r>
        <w:lastRenderedPageBreak/>
        <w:t>You are to plan a well-designed experiment. Use the features of a well-designed experiment, outlined in the program, to help you. Your experiment might be designed to determine the most popular variety of coke or the most popular brand or flavour of chips.</w:t>
      </w:r>
    </w:p>
    <w:p w14:paraId="530BDBFD" w14:textId="210A9A52" w:rsidR="00711B55" w:rsidRPr="00711B55" w:rsidRDefault="00BE5959" w:rsidP="00925A64">
      <w:pPr>
        <w:pStyle w:val="FeatureBox2"/>
      </w:pPr>
      <w:r w:rsidRPr="00BE5959">
        <w:rPr>
          <w:rStyle w:val="Strong"/>
        </w:rPr>
        <w:t>Follow-up activity:</w:t>
      </w:r>
      <w:r w:rsidR="00676F86">
        <w:t xml:space="preserve"> </w:t>
      </w:r>
      <w:r w:rsidR="00711B55">
        <w:t>Carry out the experiment you designed above. Record and display your results using suitable methods. Analyse your collected data to answer your design question.</w:t>
      </w:r>
    </w:p>
    <w:p w14:paraId="5B04F6D6" w14:textId="77777777" w:rsidR="00015814" w:rsidRPr="00925A64" w:rsidRDefault="00015814" w:rsidP="00925A64">
      <w:r w:rsidRPr="00925A64">
        <w:br w:type="page"/>
      </w:r>
    </w:p>
    <w:p w14:paraId="77C9B45D" w14:textId="47D89625" w:rsidR="00BE5959" w:rsidRDefault="00DF13A8" w:rsidP="00F16BD9">
      <w:pPr>
        <w:pStyle w:val="Heading1"/>
        <w:rPr>
          <w:lang w:eastAsia="zh-CN"/>
        </w:rPr>
      </w:pPr>
      <w:r>
        <w:rPr>
          <w:lang w:eastAsia="zh-CN"/>
        </w:rPr>
        <w:lastRenderedPageBreak/>
        <w:t>NSW t</w:t>
      </w:r>
      <w:r w:rsidR="00F16BD9">
        <w:rPr>
          <w:lang w:eastAsia="zh-CN"/>
        </w:rPr>
        <w:t>eacher notes</w:t>
      </w:r>
    </w:p>
    <w:p w14:paraId="12E2B20D" w14:textId="77777777" w:rsidR="00AB0E50" w:rsidRPr="00F6494C" w:rsidRDefault="00AB0E50" w:rsidP="00F6494C">
      <w:r w:rsidRPr="00AB0E50">
        <w:t xml:space="preserve">This is an optional standalone resource that could supplement student learning. The activities align with syllabus outcomes across stages and can be modified to meet the needs of your students. Students can complete the activities while learning at home and in the classroom. All activities can be completed without access to the internet or a device. Teachers could collect student work to offer feedback and as </w:t>
      </w:r>
      <w:r>
        <w:t xml:space="preserve">evidence of </w:t>
      </w:r>
      <w:r w:rsidRPr="00F6494C">
        <w:t>learning.</w:t>
      </w:r>
    </w:p>
    <w:p w14:paraId="19A7F770" w14:textId="0447D087" w:rsidR="00420DE7" w:rsidRPr="00F6494C" w:rsidRDefault="00420DE7" w:rsidP="00F6494C">
      <w:pPr>
        <w:pStyle w:val="Heading2"/>
      </w:pPr>
      <w:r w:rsidRPr="00F6494C">
        <w:t xml:space="preserve">Learning </w:t>
      </w:r>
      <w:r w:rsidR="00AF4D0B" w:rsidRPr="00F6494C">
        <w:t>intentions</w:t>
      </w:r>
    </w:p>
    <w:p w14:paraId="32C79294" w14:textId="47902682" w:rsidR="00420DE7" w:rsidRDefault="00711B55" w:rsidP="00420DE7">
      <w:pPr>
        <w:pStyle w:val="ListBullet"/>
        <w:rPr>
          <w:lang w:eastAsia="zh-CN"/>
        </w:rPr>
      </w:pPr>
      <w:r>
        <w:rPr>
          <w:lang w:eastAsia="zh-CN"/>
        </w:rPr>
        <w:t>To understand the difference between an Observational Study and an Experiment</w:t>
      </w:r>
    </w:p>
    <w:p w14:paraId="002216C8" w14:textId="032D06B3" w:rsidR="00711B55" w:rsidRDefault="00711B55" w:rsidP="00420DE7">
      <w:pPr>
        <w:pStyle w:val="ListBullet"/>
        <w:rPr>
          <w:lang w:eastAsia="zh-CN"/>
        </w:rPr>
      </w:pPr>
      <w:r>
        <w:rPr>
          <w:lang w:eastAsia="zh-CN"/>
        </w:rPr>
        <w:t>To be able to list the features of a well-designed experiment</w:t>
      </w:r>
    </w:p>
    <w:p w14:paraId="7166BBB2" w14:textId="206B9E4D" w:rsidR="0058185C" w:rsidRDefault="0058185C" w:rsidP="00420DE7">
      <w:pPr>
        <w:pStyle w:val="ListBullet"/>
        <w:rPr>
          <w:lang w:eastAsia="zh-CN"/>
        </w:rPr>
      </w:pPr>
      <w:r>
        <w:rPr>
          <w:lang w:eastAsia="zh-CN"/>
        </w:rPr>
        <w:t>To plan a well-designed experiment</w:t>
      </w:r>
    </w:p>
    <w:p w14:paraId="5BD97F9C" w14:textId="74386D94" w:rsidR="00420DE7" w:rsidRDefault="00420DE7" w:rsidP="00420DE7">
      <w:pPr>
        <w:pStyle w:val="Heading2"/>
      </w:pPr>
      <w:r>
        <w:t>Resources</w:t>
      </w:r>
    </w:p>
    <w:p w14:paraId="00F356F2" w14:textId="2E9D6189" w:rsidR="00420DE7" w:rsidRDefault="00711B55" w:rsidP="00420DE7">
      <w:pPr>
        <w:pStyle w:val="ListBullet"/>
        <w:rPr>
          <w:lang w:eastAsia="zh-CN"/>
        </w:rPr>
      </w:pPr>
      <w:r>
        <w:rPr>
          <w:lang w:eastAsia="zh-CN"/>
        </w:rPr>
        <w:t>Nil</w:t>
      </w:r>
    </w:p>
    <w:p w14:paraId="03A9BAAC" w14:textId="7239251B" w:rsidR="00F16BD9" w:rsidRDefault="00250E49" w:rsidP="756A41F0">
      <w:pPr>
        <w:pStyle w:val="Heading2"/>
      </w:pPr>
      <w:r>
        <w:t xml:space="preserve">NSW </w:t>
      </w:r>
      <w:r w:rsidR="007D3B29">
        <w:t>KLA</w:t>
      </w:r>
      <w:r>
        <w:t xml:space="preserve"> K-10 S</w:t>
      </w:r>
      <w:r w:rsidR="00F16BD9">
        <w:t xml:space="preserve">yllabus </w:t>
      </w:r>
      <w:r w:rsidR="005435FF">
        <w:t>outcomes</w:t>
      </w:r>
    </w:p>
    <w:tbl>
      <w:tblPr>
        <w:tblStyle w:val="Tableheader"/>
        <w:tblW w:w="9639" w:type="dxa"/>
        <w:tblInd w:w="-30" w:type="dxa"/>
        <w:tblLook w:val="0420" w:firstRow="1" w:lastRow="0" w:firstColumn="0" w:lastColumn="0" w:noHBand="0" w:noVBand="1"/>
        <w:tblDescription w:val="Alt text goes here for table"/>
      </w:tblPr>
      <w:tblGrid>
        <w:gridCol w:w="2148"/>
        <w:gridCol w:w="3745"/>
        <w:gridCol w:w="3746"/>
      </w:tblGrid>
      <w:tr w:rsidR="006307F4" w14:paraId="585C42AB" w14:textId="77777777" w:rsidTr="00A057B9">
        <w:trPr>
          <w:cnfStyle w:val="100000000000" w:firstRow="1" w:lastRow="0" w:firstColumn="0" w:lastColumn="0" w:oddVBand="0" w:evenVBand="0" w:oddHBand="0" w:evenHBand="0" w:firstRowFirstColumn="0" w:firstRowLastColumn="0" w:lastRowFirstColumn="0" w:lastRowLastColumn="0"/>
          <w:trHeight w:val="611"/>
        </w:trPr>
        <w:tc>
          <w:tcPr>
            <w:tcW w:w="2148" w:type="dxa"/>
          </w:tcPr>
          <w:p w14:paraId="257389D9" w14:textId="692EBB33" w:rsidR="006307F4" w:rsidRDefault="007D3B29" w:rsidP="00F16BD9">
            <w:pPr>
              <w:spacing w:before="192" w:after="192"/>
              <w:rPr>
                <w:lang w:eastAsia="zh-CN"/>
              </w:rPr>
            </w:pPr>
            <w:r>
              <w:rPr>
                <w:lang w:eastAsia="zh-CN"/>
              </w:rPr>
              <w:t>Outcome</w:t>
            </w:r>
          </w:p>
        </w:tc>
        <w:tc>
          <w:tcPr>
            <w:tcW w:w="3745" w:type="dxa"/>
          </w:tcPr>
          <w:p w14:paraId="5C7BFD9B" w14:textId="08998CDC" w:rsidR="006307F4" w:rsidRDefault="00711B55" w:rsidP="00F16BD9">
            <w:pPr>
              <w:rPr>
                <w:lang w:eastAsia="zh-CN"/>
              </w:rPr>
            </w:pPr>
            <w:r>
              <w:rPr>
                <w:lang w:eastAsia="zh-CN"/>
              </w:rPr>
              <w:t>Stage 3</w:t>
            </w:r>
          </w:p>
        </w:tc>
        <w:tc>
          <w:tcPr>
            <w:tcW w:w="3746" w:type="dxa"/>
          </w:tcPr>
          <w:p w14:paraId="1BBD10DB" w14:textId="3B2429D6" w:rsidR="006307F4" w:rsidRDefault="00711B55" w:rsidP="00F16BD9">
            <w:pPr>
              <w:rPr>
                <w:lang w:eastAsia="zh-CN"/>
              </w:rPr>
            </w:pPr>
            <w:r>
              <w:rPr>
                <w:lang w:eastAsia="zh-CN"/>
              </w:rPr>
              <w:t>Stage 4</w:t>
            </w:r>
          </w:p>
        </w:tc>
      </w:tr>
      <w:tr w:rsidR="006307F4" w14:paraId="79A59143" w14:textId="77777777" w:rsidTr="00A057B9">
        <w:trPr>
          <w:cnfStyle w:val="000000100000" w:firstRow="0" w:lastRow="0" w:firstColumn="0" w:lastColumn="0" w:oddVBand="0" w:evenVBand="0" w:oddHBand="1" w:evenHBand="0" w:firstRowFirstColumn="0" w:firstRowLastColumn="0" w:lastRowFirstColumn="0" w:lastRowLastColumn="0"/>
          <w:trHeight w:val="470"/>
        </w:trPr>
        <w:tc>
          <w:tcPr>
            <w:tcW w:w="2148" w:type="dxa"/>
            <w:vAlign w:val="top"/>
          </w:tcPr>
          <w:p w14:paraId="667686C4" w14:textId="64B0F679" w:rsidR="006307F4" w:rsidRPr="00592F55" w:rsidRDefault="00711B55" w:rsidP="005C4970">
            <w:r>
              <w:t>Data</w:t>
            </w:r>
          </w:p>
        </w:tc>
        <w:tc>
          <w:tcPr>
            <w:tcW w:w="3745" w:type="dxa"/>
            <w:vAlign w:val="top"/>
          </w:tcPr>
          <w:p w14:paraId="6C1CF593" w14:textId="13BF125D" w:rsidR="006307F4" w:rsidRPr="00592F55" w:rsidRDefault="00711B55" w:rsidP="005C4970">
            <w:r w:rsidRPr="00711B55">
              <w:rPr>
                <w:rFonts w:cs="Arial"/>
                <w:b/>
                <w:color w:val="000000"/>
              </w:rPr>
              <w:t xml:space="preserve">MA3-18SP </w:t>
            </w:r>
            <w:r w:rsidRPr="00711B55">
              <w:rPr>
                <w:rFonts w:cs="Arial"/>
                <w:color w:val="000000"/>
              </w:rPr>
              <w:t>uses appropriate methods to collect data and constructs, interprets and evaluates data displays, including dot plots, line graphs and two-way tables</w:t>
            </w:r>
          </w:p>
        </w:tc>
        <w:tc>
          <w:tcPr>
            <w:tcW w:w="3746" w:type="dxa"/>
            <w:vAlign w:val="top"/>
          </w:tcPr>
          <w:p w14:paraId="2E060995" w14:textId="5C0638E2" w:rsidR="006307F4" w:rsidRPr="0058185C" w:rsidRDefault="0058185C" w:rsidP="005C4970">
            <w:pPr>
              <w:rPr>
                <w:b/>
              </w:rPr>
            </w:pPr>
            <w:r>
              <w:rPr>
                <w:b/>
              </w:rPr>
              <w:t xml:space="preserve">MA4-19SP </w:t>
            </w:r>
            <w:r>
              <w:rPr>
                <w:rFonts w:cs="Arial"/>
                <w:color w:val="000000"/>
                <w:shd w:val="clear" w:color="auto" w:fill="FFFFFF"/>
              </w:rPr>
              <w:t>collects, represents and interprets single sets of data, using appropriate statistical displays</w:t>
            </w:r>
          </w:p>
        </w:tc>
      </w:tr>
      <w:tr w:rsidR="006307F4" w14:paraId="33460CD1" w14:textId="77777777" w:rsidTr="00A057B9">
        <w:trPr>
          <w:cnfStyle w:val="000000010000" w:firstRow="0" w:lastRow="0" w:firstColumn="0" w:lastColumn="0" w:oddVBand="0" w:evenVBand="0" w:oddHBand="0" w:evenHBand="1" w:firstRowFirstColumn="0" w:firstRowLastColumn="0" w:lastRowFirstColumn="0" w:lastRowLastColumn="0"/>
          <w:trHeight w:val="460"/>
        </w:trPr>
        <w:tc>
          <w:tcPr>
            <w:tcW w:w="2148" w:type="dxa"/>
            <w:vAlign w:val="top"/>
          </w:tcPr>
          <w:p w14:paraId="5FC2A21C" w14:textId="53C7AAAC" w:rsidR="006307F4" w:rsidRPr="00592F55" w:rsidRDefault="0058185C" w:rsidP="005C4970">
            <w:r>
              <w:t>Single variable data analysis</w:t>
            </w:r>
          </w:p>
        </w:tc>
        <w:tc>
          <w:tcPr>
            <w:tcW w:w="3745" w:type="dxa"/>
            <w:vAlign w:val="top"/>
          </w:tcPr>
          <w:p w14:paraId="48D2063B" w14:textId="69E2294A" w:rsidR="006307F4" w:rsidRPr="00711B55" w:rsidRDefault="006307F4" w:rsidP="005C4970">
            <w:pPr>
              <w:rPr>
                <w:b/>
              </w:rPr>
            </w:pPr>
          </w:p>
        </w:tc>
        <w:tc>
          <w:tcPr>
            <w:tcW w:w="3746" w:type="dxa"/>
            <w:vAlign w:val="top"/>
          </w:tcPr>
          <w:p w14:paraId="3C45DB27" w14:textId="12FC7801" w:rsidR="006307F4" w:rsidRPr="0058185C" w:rsidRDefault="0058185C" w:rsidP="005C4970">
            <w:pPr>
              <w:rPr>
                <w:b/>
              </w:rPr>
            </w:pPr>
            <w:r w:rsidRPr="0058185C">
              <w:rPr>
                <w:b/>
              </w:rPr>
              <w:t>MA4-20SP</w:t>
            </w:r>
            <w:r>
              <w:t xml:space="preserve"> </w:t>
            </w:r>
            <w:r w:rsidRPr="0058185C">
              <w:rPr>
                <w:rFonts w:cs="Arial"/>
                <w:color w:val="000000"/>
                <w:shd w:val="clear" w:color="auto" w:fill="E7E6E6" w:themeFill="background2"/>
              </w:rPr>
              <w:t>analyses single sets of data using measures of location, and range</w:t>
            </w:r>
          </w:p>
        </w:tc>
      </w:tr>
      <w:tr w:rsidR="0058185C" w14:paraId="32554811" w14:textId="77777777" w:rsidTr="00A057B9">
        <w:trPr>
          <w:cnfStyle w:val="000000100000" w:firstRow="0" w:lastRow="0" w:firstColumn="0" w:lastColumn="0" w:oddVBand="0" w:evenVBand="0" w:oddHBand="1" w:evenHBand="0" w:firstRowFirstColumn="0" w:firstRowLastColumn="0" w:lastRowFirstColumn="0" w:lastRowLastColumn="0"/>
          <w:trHeight w:val="460"/>
        </w:trPr>
        <w:tc>
          <w:tcPr>
            <w:tcW w:w="2148" w:type="dxa"/>
            <w:vAlign w:val="top"/>
          </w:tcPr>
          <w:p w14:paraId="2DAF651E" w14:textId="71010B5B" w:rsidR="0058185C" w:rsidRPr="00592F55" w:rsidRDefault="0058185C" w:rsidP="0058185C">
            <w:r>
              <w:t>Working mathematically</w:t>
            </w:r>
          </w:p>
        </w:tc>
        <w:tc>
          <w:tcPr>
            <w:tcW w:w="3745" w:type="dxa"/>
            <w:vAlign w:val="top"/>
          </w:tcPr>
          <w:p w14:paraId="501D9260" w14:textId="77777777" w:rsidR="0058185C" w:rsidRPr="00711B55" w:rsidRDefault="0058185C" w:rsidP="0058185C">
            <w:r>
              <w:rPr>
                <w:b/>
              </w:rPr>
              <w:t>MA3-1WM</w:t>
            </w:r>
            <w:r>
              <w:t xml:space="preserve"> describes and represents mathematical situations in a variety of ways using mathematical terminology and some conventions</w:t>
            </w:r>
          </w:p>
          <w:p w14:paraId="3CC70A90" w14:textId="19855182" w:rsidR="0058185C" w:rsidRPr="00592F55" w:rsidRDefault="0058185C" w:rsidP="0058185C">
            <w:r>
              <w:rPr>
                <w:b/>
              </w:rPr>
              <w:t>MA3-3WM</w:t>
            </w:r>
            <w:r>
              <w:t xml:space="preserve"> gives a valid reason for supporting one possible solution over another</w:t>
            </w:r>
          </w:p>
        </w:tc>
        <w:tc>
          <w:tcPr>
            <w:tcW w:w="3746" w:type="dxa"/>
            <w:vAlign w:val="top"/>
          </w:tcPr>
          <w:p w14:paraId="2A949988" w14:textId="77777777" w:rsidR="0058185C" w:rsidRPr="0058185C" w:rsidRDefault="0058185C" w:rsidP="0058185C">
            <w:pPr>
              <w:rPr>
                <w:color w:val="000000" w:themeColor="text1"/>
              </w:rPr>
            </w:pPr>
            <w:r>
              <w:rPr>
                <w:b/>
              </w:rPr>
              <w:t xml:space="preserve">MA4-1WM </w:t>
            </w:r>
            <w:r w:rsidRPr="0058185C">
              <w:rPr>
                <w:color w:val="000000" w:themeColor="text1"/>
              </w:rPr>
              <w:t>communicates and connects mathematical ideas using appropriate terminology, diagrams and symbols</w:t>
            </w:r>
          </w:p>
          <w:p w14:paraId="3AED07E9" w14:textId="21D2BDD1" w:rsidR="0058185C" w:rsidRPr="00592F55" w:rsidRDefault="0058185C" w:rsidP="0058185C">
            <w:r>
              <w:rPr>
                <w:b/>
              </w:rPr>
              <w:t xml:space="preserve">MA4-3WM </w:t>
            </w:r>
            <w:r w:rsidRPr="0058185C">
              <w:rPr>
                <w:color w:val="000000" w:themeColor="text1"/>
              </w:rPr>
              <w:t>recognises and explains mathematical relationships using reasoning</w:t>
            </w:r>
          </w:p>
        </w:tc>
      </w:tr>
    </w:tbl>
    <w:p w14:paraId="7DCD6FAB" w14:textId="17CDE1E0" w:rsidR="006307F4" w:rsidRPr="00F16BD9" w:rsidRDefault="00494978" w:rsidP="5AE43CC4">
      <w:pPr>
        <w:pStyle w:val="Copyright"/>
      </w:pPr>
      <w:r w:rsidRPr="007D3B29">
        <w:t xml:space="preserve">NSW </w:t>
      </w:r>
      <w:r w:rsidR="007D3B29">
        <w:t>KLA SYLLABUS</w:t>
      </w:r>
      <w:r w:rsidRPr="007D3B29">
        <w:t xml:space="preserve"> © </w:t>
      </w:r>
      <w:r w:rsidR="009437D2">
        <w:t>NSW Education Standards Authority (NESA) for and on behalf of the Crown in right of the State of New South Wales</w:t>
      </w:r>
      <w:r w:rsidR="007D3B29">
        <w:t xml:space="preserve"> 20XX</w:t>
      </w:r>
      <w:r w:rsidR="009437D2">
        <w:t>.</w:t>
      </w:r>
      <w:r w:rsidR="002407FC">
        <w:t xml:space="preserve"> See the </w:t>
      </w:r>
      <w:hyperlink r:id="rId11">
        <w:r w:rsidR="002407FC" w:rsidRPr="5AE43CC4">
          <w:rPr>
            <w:rStyle w:val="Hyperlink"/>
            <w:sz w:val="20"/>
            <w:szCs w:val="20"/>
          </w:rPr>
          <w:t>NESA website</w:t>
        </w:r>
      </w:hyperlink>
      <w:r w:rsidR="002407FC">
        <w:t xml:space="preserve"> for additional copyright information.</w:t>
      </w:r>
    </w:p>
    <w:sectPr w:rsidR="006307F4" w:rsidRPr="00F16BD9" w:rsidSect="00A057B9">
      <w:footerReference w:type="even" r:id="rId12"/>
      <w:footerReference w:type="default" r:id="rId13"/>
      <w:headerReference w:type="first" r:id="rId14"/>
      <w:footerReference w:type="first" r:id="rId15"/>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D2DAC" w14:textId="55C0F30D" w:rsidR="00B2269B" w:rsidRDefault="00B2269B">
      <w:r>
        <w:separator/>
      </w:r>
    </w:p>
    <w:p w14:paraId="0B7DDD3B" w14:textId="77777777" w:rsidR="00B2269B" w:rsidRDefault="00B2269B"/>
  </w:endnote>
  <w:endnote w:type="continuationSeparator" w:id="0">
    <w:p w14:paraId="17C784E8" w14:textId="0F4164BC" w:rsidR="00B2269B" w:rsidRDefault="00B2269B">
      <w:r>
        <w:continuationSeparator/>
      </w:r>
    </w:p>
    <w:p w14:paraId="5C426C94" w14:textId="77777777" w:rsidR="00B2269B" w:rsidRDefault="00B226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CCD7C" w14:textId="7F073CD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58185C">
      <w:rPr>
        <w:noProof/>
      </w:rPr>
      <w:t>2</w:t>
    </w:r>
    <w:r w:rsidRPr="002810D3">
      <w:fldChar w:fldCharType="end"/>
    </w:r>
    <w:r w:rsidRPr="002810D3">
      <w:tab/>
    </w:r>
    <w:r w:rsidR="00A057B9">
      <w:t>ABC TV Education resources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3CBB1" w14:textId="52C4BBFB"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925A64">
      <w:rPr>
        <w:noProof/>
      </w:rPr>
      <w:t>Jul-21</w:t>
    </w:r>
    <w:r w:rsidRPr="002810D3">
      <w:fldChar w:fldCharType="end"/>
    </w:r>
    <w:r w:rsidR="00D91F0C">
      <w:t>20</w:t>
    </w:r>
    <w:r w:rsidRPr="002810D3">
      <w:tab/>
    </w:r>
    <w:r w:rsidRPr="002810D3">
      <w:fldChar w:fldCharType="begin"/>
    </w:r>
    <w:r w:rsidRPr="002810D3">
      <w:instrText xml:space="preserve"> PAGE </w:instrText>
    </w:r>
    <w:r w:rsidRPr="002810D3">
      <w:fldChar w:fldCharType="separate"/>
    </w:r>
    <w:r w:rsidR="0058185C">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5AA46" w14:textId="77777777" w:rsidR="00493120" w:rsidRDefault="00493120" w:rsidP="00493120">
    <w:pPr>
      <w:pStyle w:val="Logo"/>
    </w:pPr>
    <w:r w:rsidRPr="00913D40">
      <w:rPr>
        <w:sz w:val="24"/>
      </w:rPr>
      <w:t>education.nsw.gov.au</w:t>
    </w:r>
    <w:r w:rsidRPr="00791B72">
      <w:tab/>
    </w:r>
    <w:r w:rsidRPr="009C69B7">
      <w:rPr>
        <w:noProof/>
        <w:lang w:eastAsia="en-AU"/>
      </w:rPr>
      <w:drawing>
        <wp:inline distT="0" distB="0" distL="0" distR="0" wp14:anchorId="669B6444" wp14:editId="0A283564">
          <wp:extent cx="360000" cy="382978"/>
          <wp:effectExtent l="0" t="0" r="2540" b="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360000" cy="38297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81227" w14:textId="4E05B544" w:rsidR="00B2269B" w:rsidRDefault="00B2269B">
      <w:r>
        <w:separator/>
      </w:r>
    </w:p>
    <w:p w14:paraId="039D6333" w14:textId="77777777" w:rsidR="00B2269B" w:rsidRDefault="00B2269B"/>
  </w:footnote>
  <w:footnote w:type="continuationSeparator" w:id="0">
    <w:p w14:paraId="1947B8B9" w14:textId="63ED843E" w:rsidR="00B2269B" w:rsidRDefault="00B2269B">
      <w:r>
        <w:continuationSeparator/>
      </w:r>
    </w:p>
    <w:p w14:paraId="6F8659A9" w14:textId="77777777" w:rsidR="00B2269B" w:rsidRDefault="00B226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840AD"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A830D590"/>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A8369B9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35DF6D19"/>
    <w:multiLevelType w:val="hybridMultilevel"/>
    <w:tmpl w:val="43D22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167EE8"/>
    <w:multiLevelType w:val="hybridMultilevel"/>
    <w:tmpl w:val="D7325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6"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9"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0"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2"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3"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7"/>
  </w:num>
  <w:num w:numId="2">
    <w:abstractNumId w:val="15"/>
  </w:num>
  <w:num w:numId="3">
    <w:abstractNumId w:val="19"/>
  </w:num>
  <w:num w:numId="4">
    <w:abstractNumId w:val="2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2"/>
  </w:num>
  <w:num w:numId="8">
    <w:abstractNumId w:val="11"/>
  </w:num>
  <w:num w:numId="9">
    <w:abstractNumId w:val="18"/>
  </w:num>
  <w:num w:numId="10">
    <w:abstractNumId w:val="10"/>
  </w:num>
  <w:num w:numId="11">
    <w:abstractNumId w:val="16"/>
  </w:num>
  <w:num w:numId="12">
    <w:abstractNumId w:val="6"/>
  </w:num>
  <w:num w:numId="13">
    <w:abstractNumId w:val="9"/>
  </w:num>
  <w:num w:numId="14">
    <w:abstractNumId w:val="0"/>
  </w:num>
  <w:num w:numId="15">
    <w:abstractNumId w:val="1"/>
  </w:num>
  <w:num w:numId="16">
    <w:abstractNumId w:val="2"/>
  </w:num>
  <w:num w:numId="17">
    <w:abstractNumId w:val="3"/>
  </w:num>
  <w:num w:numId="18">
    <w:abstractNumId w:val="4"/>
  </w:num>
  <w:num w:numId="19">
    <w:abstractNumId w:val="5"/>
  </w:num>
  <w:num w:numId="20">
    <w:abstractNumId w:val="8"/>
  </w:num>
  <w:num w:numId="21">
    <w:abstractNumId w:val="23"/>
  </w:num>
  <w:num w:numId="22">
    <w:abstractNumId w:val="20"/>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7"/>
  </w:num>
  <w:num w:numId="32">
    <w:abstractNumId w:val="23"/>
  </w:num>
  <w:num w:numId="33">
    <w:abstractNumId w:val="19"/>
  </w:num>
  <w:num w:numId="34">
    <w:abstractNumId w:val="21"/>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23"/>
  </w:num>
  <w:num w:numId="39">
    <w:abstractNumId w:val="13"/>
  </w:num>
  <w:num w:numId="40">
    <w:abstractNumId w:val="14"/>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gutterAtTop/>
  <w:activeWritingStyle w:appName="MSWord" w:lang="en-AU" w:vendorID="64" w:dllVersion="4096" w:nlCheck="1" w:checkStyle="0"/>
  <w:activeWritingStyle w:appName="MSWord" w:lang="en-AU" w:vendorID="64" w:dllVersion="6" w:nlCheck="1" w:checkStyle="1"/>
  <w:proofState w:spelling="clean" w:grammar="clean"/>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3CA"/>
    <w:rsid w:val="0000031A"/>
    <w:rsid w:val="00001C08"/>
    <w:rsid w:val="00002BF1"/>
    <w:rsid w:val="00006220"/>
    <w:rsid w:val="00006CD7"/>
    <w:rsid w:val="000103FC"/>
    <w:rsid w:val="00010746"/>
    <w:rsid w:val="000143DF"/>
    <w:rsid w:val="000151F8"/>
    <w:rsid w:val="00015814"/>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6473"/>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A7D98"/>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890"/>
    <w:rsid w:val="000C6F89"/>
    <w:rsid w:val="000C7D4F"/>
    <w:rsid w:val="000D063A"/>
    <w:rsid w:val="000D2055"/>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1604"/>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4CC9"/>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3D9F"/>
    <w:rsid w:val="00234830"/>
    <w:rsid w:val="002368C7"/>
    <w:rsid w:val="0023712A"/>
    <w:rsid w:val="0023726F"/>
    <w:rsid w:val="0024041A"/>
    <w:rsid w:val="002407FC"/>
    <w:rsid w:val="002410C8"/>
    <w:rsid w:val="00241C93"/>
    <w:rsid w:val="0024214A"/>
    <w:rsid w:val="002441F2"/>
    <w:rsid w:val="0024438F"/>
    <w:rsid w:val="002447C2"/>
    <w:rsid w:val="002458D0"/>
    <w:rsid w:val="00245EC0"/>
    <w:rsid w:val="002462B7"/>
    <w:rsid w:val="00247FF0"/>
    <w:rsid w:val="00250C2E"/>
    <w:rsid w:val="00250E49"/>
    <w:rsid w:val="00250F4A"/>
    <w:rsid w:val="00251349"/>
    <w:rsid w:val="00253532"/>
    <w:rsid w:val="002540D3"/>
    <w:rsid w:val="00254B2A"/>
    <w:rsid w:val="002556DB"/>
    <w:rsid w:val="00256D4F"/>
    <w:rsid w:val="00260EE8"/>
    <w:rsid w:val="00260F28"/>
    <w:rsid w:val="0026131D"/>
    <w:rsid w:val="00263542"/>
    <w:rsid w:val="0026503F"/>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9F1"/>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4F"/>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3485"/>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42F8"/>
    <w:rsid w:val="00405801"/>
    <w:rsid w:val="00407474"/>
    <w:rsid w:val="00407ED4"/>
    <w:rsid w:val="004128F0"/>
    <w:rsid w:val="00414D5B"/>
    <w:rsid w:val="004163AD"/>
    <w:rsid w:val="0041645A"/>
    <w:rsid w:val="00417BB8"/>
    <w:rsid w:val="00420300"/>
    <w:rsid w:val="00420DE7"/>
    <w:rsid w:val="00421646"/>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78"/>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6392"/>
    <w:rsid w:val="004C6E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53CA"/>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6B68"/>
    <w:rsid w:val="0051725F"/>
    <w:rsid w:val="00520095"/>
    <w:rsid w:val="005203DC"/>
    <w:rsid w:val="00520645"/>
    <w:rsid w:val="0052168D"/>
    <w:rsid w:val="0052396A"/>
    <w:rsid w:val="0052782C"/>
    <w:rsid w:val="00527A41"/>
    <w:rsid w:val="00530E46"/>
    <w:rsid w:val="00531D18"/>
    <w:rsid w:val="005324EF"/>
    <w:rsid w:val="0053286B"/>
    <w:rsid w:val="00536369"/>
    <w:rsid w:val="005400FF"/>
    <w:rsid w:val="00540E99"/>
    <w:rsid w:val="00541130"/>
    <w:rsid w:val="005435FF"/>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185C"/>
    <w:rsid w:val="005824C0"/>
    <w:rsid w:val="00582560"/>
    <w:rsid w:val="00582FD7"/>
    <w:rsid w:val="005832ED"/>
    <w:rsid w:val="00583524"/>
    <w:rsid w:val="005835A2"/>
    <w:rsid w:val="00583853"/>
    <w:rsid w:val="005857A8"/>
    <w:rsid w:val="0058713B"/>
    <w:rsid w:val="005876D2"/>
    <w:rsid w:val="0059056C"/>
    <w:rsid w:val="0059130B"/>
    <w:rsid w:val="00592F55"/>
    <w:rsid w:val="005955F5"/>
    <w:rsid w:val="00596689"/>
    <w:rsid w:val="005A16FB"/>
    <w:rsid w:val="005A1A68"/>
    <w:rsid w:val="005A2A5A"/>
    <w:rsid w:val="005A3076"/>
    <w:rsid w:val="005A39FC"/>
    <w:rsid w:val="005A3B66"/>
    <w:rsid w:val="005A42E3"/>
    <w:rsid w:val="005A51EF"/>
    <w:rsid w:val="005A5F04"/>
    <w:rsid w:val="005A6DC2"/>
    <w:rsid w:val="005B0870"/>
    <w:rsid w:val="005B1762"/>
    <w:rsid w:val="005B2424"/>
    <w:rsid w:val="005B4B88"/>
    <w:rsid w:val="005B5605"/>
    <w:rsid w:val="005B5D60"/>
    <w:rsid w:val="005B5E31"/>
    <w:rsid w:val="005B64AE"/>
    <w:rsid w:val="005B6E3D"/>
    <w:rsid w:val="005B7298"/>
    <w:rsid w:val="005C1BFC"/>
    <w:rsid w:val="005C4970"/>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7F4"/>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57635"/>
    <w:rsid w:val="006618E3"/>
    <w:rsid w:val="00661D06"/>
    <w:rsid w:val="006638B4"/>
    <w:rsid w:val="0066400D"/>
    <w:rsid w:val="006644C4"/>
    <w:rsid w:val="0066665B"/>
    <w:rsid w:val="00670EE3"/>
    <w:rsid w:val="0067331F"/>
    <w:rsid w:val="006742E8"/>
    <w:rsid w:val="0067482E"/>
    <w:rsid w:val="00675260"/>
    <w:rsid w:val="00676F86"/>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10FC"/>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1B55"/>
    <w:rsid w:val="00712DA7"/>
    <w:rsid w:val="00714956"/>
    <w:rsid w:val="00715F89"/>
    <w:rsid w:val="00716FB7"/>
    <w:rsid w:val="00717C66"/>
    <w:rsid w:val="0072144B"/>
    <w:rsid w:val="00722D6B"/>
    <w:rsid w:val="00723956"/>
    <w:rsid w:val="00724203"/>
    <w:rsid w:val="00725C3B"/>
    <w:rsid w:val="00725D14"/>
    <w:rsid w:val="007266FB"/>
    <w:rsid w:val="00730BE5"/>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5063"/>
    <w:rsid w:val="0078667E"/>
    <w:rsid w:val="007919DC"/>
    <w:rsid w:val="00791B72"/>
    <w:rsid w:val="00791C7F"/>
    <w:rsid w:val="00796888"/>
    <w:rsid w:val="00796CAA"/>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3B29"/>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07D6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CD8"/>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85F34"/>
    <w:rsid w:val="00890C47"/>
    <w:rsid w:val="008914B9"/>
    <w:rsid w:val="00891FA6"/>
    <w:rsid w:val="0089256F"/>
    <w:rsid w:val="00893CDB"/>
    <w:rsid w:val="00893D12"/>
    <w:rsid w:val="0089468F"/>
    <w:rsid w:val="00895105"/>
    <w:rsid w:val="00895316"/>
    <w:rsid w:val="00895861"/>
    <w:rsid w:val="00896EE3"/>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358"/>
    <w:rsid w:val="008C4CAB"/>
    <w:rsid w:val="008C6461"/>
    <w:rsid w:val="008C6BA4"/>
    <w:rsid w:val="008C6F82"/>
    <w:rsid w:val="008C7CBC"/>
    <w:rsid w:val="008D0067"/>
    <w:rsid w:val="008D125E"/>
    <w:rsid w:val="008D5308"/>
    <w:rsid w:val="008D55BF"/>
    <w:rsid w:val="008D61E0"/>
    <w:rsid w:val="008D6722"/>
    <w:rsid w:val="008D6B68"/>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5A64"/>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7D2"/>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3FEC"/>
    <w:rsid w:val="0096422F"/>
    <w:rsid w:val="00964AE3"/>
    <w:rsid w:val="00965F05"/>
    <w:rsid w:val="0096720F"/>
    <w:rsid w:val="0097036E"/>
    <w:rsid w:val="00970968"/>
    <w:rsid w:val="009718BF"/>
    <w:rsid w:val="00973DB2"/>
    <w:rsid w:val="00981475"/>
    <w:rsid w:val="00981668"/>
    <w:rsid w:val="00984331"/>
    <w:rsid w:val="00984C07"/>
    <w:rsid w:val="00985F69"/>
    <w:rsid w:val="009861DB"/>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57B9"/>
    <w:rsid w:val="00A07569"/>
    <w:rsid w:val="00A07749"/>
    <w:rsid w:val="00A078FB"/>
    <w:rsid w:val="00A10CE1"/>
    <w:rsid w:val="00A10CED"/>
    <w:rsid w:val="00A128C6"/>
    <w:rsid w:val="00A12DE0"/>
    <w:rsid w:val="00A143CE"/>
    <w:rsid w:val="00A16D9B"/>
    <w:rsid w:val="00A2017E"/>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1734"/>
    <w:rsid w:val="00A81791"/>
    <w:rsid w:val="00A8195D"/>
    <w:rsid w:val="00A81DC9"/>
    <w:rsid w:val="00A82923"/>
    <w:rsid w:val="00A83203"/>
    <w:rsid w:val="00A8372C"/>
    <w:rsid w:val="00A855FA"/>
    <w:rsid w:val="00A905C6"/>
    <w:rsid w:val="00A90A0B"/>
    <w:rsid w:val="00A91418"/>
    <w:rsid w:val="00A91A18"/>
    <w:rsid w:val="00A9244B"/>
    <w:rsid w:val="00A932DF"/>
    <w:rsid w:val="00A947CF"/>
    <w:rsid w:val="00A95F5B"/>
    <w:rsid w:val="00A96D9C"/>
    <w:rsid w:val="00A97222"/>
    <w:rsid w:val="00A9772A"/>
    <w:rsid w:val="00AA154D"/>
    <w:rsid w:val="00AA18E2"/>
    <w:rsid w:val="00AA22B0"/>
    <w:rsid w:val="00AA2B19"/>
    <w:rsid w:val="00AA3B89"/>
    <w:rsid w:val="00AA5E50"/>
    <w:rsid w:val="00AA642B"/>
    <w:rsid w:val="00AB0677"/>
    <w:rsid w:val="00AB0E50"/>
    <w:rsid w:val="00AB1629"/>
    <w:rsid w:val="00AB1983"/>
    <w:rsid w:val="00AB23C3"/>
    <w:rsid w:val="00AB24DB"/>
    <w:rsid w:val="00AB35D0"/>
    <w:rsid w:val="00AB3C60"/>
    <w:rsid w:val="00AB77E7"/>
    <w:rsid w:val="00AC1DCF"/>
    <w:rsid w:val="00AC23B1"/>
    <w:rsid w:val="00AC260E"/>
    <w:rsid w:val="00AC2AF9"/>
    <w:rsid w:val="00AC2F71"/>
    <w:rsid w:val="00AC47A6"/>
    <w:rsid w:val="00AC60C5"/>
    <w:rsid w:val="00AC78ED"/>
    <w:rsid w:val="00AD02D3"/>
    <w:rsid w:val="00AD3675"/>
    <w:rsid w:val="00AD49DD"/>
    <w:rsid w:val="00AD56A9"/>
    <w:rsid w:val="00AD69C4"/>
    <w:rsid w:val="00AD6F0C"/>
    <w:rsid w:val="00AE1C5F"/>
    <w:rsid w:val="00AE23DD"/>
    <w:rsid w:val="00AE3899"/>
    <w:rsid w:val="00AE6CD2"/>
    <w:rsid w:val="00AE776A"/>
    <w:rsid w:val="00AF1F68"/>
    <w:rsid w:val="00AF27B7"/>
    <w:rsid w:val="00AF2BB2"/>
    <w:rsid w:val="00AF3C5D"/>
    <w:rsid w:val="00AF4D0B"/>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6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187B"/>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5959"/>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C8D"/>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31BC"/>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12E3"/>
    <w:rsid w:val="00CB2F98"/>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5A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529"/>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32D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1F0C"/>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3D71"/>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13A8"/>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39E0"/>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87C2F"/>
    <w:rsid w:val="00E9108A"/>
    <w:rsid w:val="00E9117E"/>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3638"/>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071CD"/>
    <w:rsid w:val="00F121C4"/>
    <w:rsid w:val="00F16BD9"/>
    <w:rsid w:val="00F17235"/>
    <w:rsid w:val="00F20B40"/>
    <w:rsid w:val="00F2269A"/>
    <w:rsid w:val="00F22775"/>
    <w:rsid w:val="00F228A5"/>
    <w:rsid w:val="00F246D4"/>
    <w:rsid w:val="00F269DC"/>
    <w:rsid w:val="00F27967"/>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3FDB"/>
    <w:rsid w:val="00F642AF"/>
    <w:rsid w:val="00F6494C"/>
    <w:rsid w:val="00F650B4"/>
    <w:rsid w:val="00F65901"/>
    <w:rsid w:val="00F66B95"/>
    <w:rsid w:val="00F706AA"/>
    <w:rsid w:val="00F70B3E"/>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00FF7979"/>
    <w:rsid w:val="16AF1F80"/>
    <w:rsid w:val="1F8D9332"/>
    <w:rsid w:val="4525DF94"/>
    <w:rsid w:val="488343A5"/>
    <w:rsid w:val="4B6290CB"/>
    <w:rsid w:val="4CD20B92"/>
    <w:rsid w:val="5925F5FD"/>
    <w:rsid w:val="5AE43CC4"/>
    <w:rsid w:val="5B3BC082"/>
    <w:rsid w:val="5C2CCC94"/>
    <w:rsid w:val="756A41F0"/>
    <w:rsid w:val="77571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997E4F"/>
  <w14:defaultImageDpi w14:val="32767"/>
  <w15:chartTrackingRefBased/>
  <w15:docId w15:val="{6B44E782-08CD-4DCC-BBA9-1B13E6093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E87C2F"/>
    <w:pPr>
      <w:spacing w:after="120"/>
    </w:pPr>
    <w:rPr>
      <w:rFonts w:ascii="Arial" w:hAnsi="Arial"/>
      <w:lang w:val="en-AU"/>
    </w:rPr>
  </w:style>
  <w:style w:type="paragraph" w:styleId="Heading1">
    <w:name w:val="heading 1"/>
    <w:aliases w:val="ŠHeading 1"/>
    <w:basedOn w:val="Normal"/>
    <w:next w:val="Normal"/>
    <w:link w:val="Heading1Char"/>
    <w:uiPriority w:val="6"/>
    <w:qFormat/>
    <w:rsid w:val="00250E49"/>
    <w:pPr>
      <w:spacing w:before="120"/>
      <w:outlineLvl w:val="0"/>
    </w:pPr>
    <w:rPr>
      <w:rFonts w:ascii="Arial Rounded MT Bold" w:eastAsiaTheme="majorEastAsia" w:hAnsi="Arial Rounded MT Bold" w:cstheme="majorBidi"/>
      <w:color w:val="1C438B"/>
      <w:sz w:val="48"/>
      <w:szCs w:val="32"/>
    </w:rPr>
  </w:style>
  <w:style w:type="paragraph" w:styleId="Heading2">
    <w:name w:val="heading 2"/>
    <w:aliases w:val="ŠHeading 2"/>
    <w:basedOn w:val="Normal"/>
    <w:next w:val="Normal"/>
    <w:link w:val="Heading2Char"/>
    <w:uiPriority w:val="7"/>
    <w:qFormat/>
    <w:rsid w:val="00250E49"/>
    <w:pPr>
      <w:keepNext/>
      <w:keepLines/>
      <w:numPr>
        <w:ilvl w:val="1"/>
        <w:numId w:val="30"/>
      </w:numPr>
      <w:tabs>
        <w:tab w:val="left" w:pos="567"/>
        <w:tab w:val="left" w:pos="1134"/>
        <w:tab w:val="left" w:pos="1701"/>
        <w:tab w:val="left" w:pos="2268"/>
        <w:tab w:val="left" w:pos="2835"/>
        <w:tab w:val="left" w:pos="3402"/>
      </w:tabs>
      <w:ind w:left="0"/>
      <w:outlineLvl w:val="1"/>
    </w:pPr>
    <w:rPr>
      <w:rFonts w:ascii="Arial Rounded MT Bold" w:eastAsia="SimSun" w:hAnsi="Arial Rounded MT Bold" w:cs="Arial"/>
      <w:color w:val="1C438B"/>
      <w:sz w:val="28"/>
      <w:szCs w:val="36"/>
      <w:lang w:eastAsia="zh-CN"/>
    </w:rPr>
  </w:style>
  <w:style w:type="paragraph" w:styleId="Heading3">
    <w:name w:val="heading 3"/>
    <w:aliases w:val="ŠHeading 3"/>
    <w:basedOn w:val="Normal"/>
    <w:next w:val="Normal"/>
    <w:link w:val="Heading3Char"/>
    <w:uiPriority w:val="8"/>
    <w:qFormat/>
    <w:rsid w:val="004042F8"/>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885F34"/>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4042F8"/>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250E49"/>
    <w:rPr>
      <w:rFonts w:ascii="Arial Rounded MT Bold" w:eastAsiaTheme="majorEastAsia" w:hAnsi="Arial Rounded MT Bold" w:cstheme="majorBidi"/>
      <w:color w:val="1C438B"/>
      <w:sz w:val="48"/>
      <w:szCs w:val="32"/>
      <w:lang w:val="en-AU"/>
    </w:rPr>
  </w:style>
  <w:style w:type="character" w:customStyle="1" w:styleId="Heading2Char">
    <w:name w:val="Heading 2 Char"/>
    <w:aliases w:val="ŠHeading 2 Char"/>
    <w:basedOn w:val="DefaultParagraphFont"/>
    <w:link w:val="Heading2"/>
    <w:uiPriority w:val="7"/>
    <w:rsid w:val="00250E49"/>
    <w:rPr>
      <w:rFonts w:ascii="Arial Rounded MT Bold" w:eastAsia="SimSun" w:hAnsi="Arial Rounded MT Bold" w:cs="Arial"/>
      <w:color w:val="1C438B"/>
      <w:sz w:val="28"/>
      <w:szCs w:val="36"/>
      <w:lang w:val="en-AU" w:eastAsia="zh-CN"/>
    </w:rPr>
  </w:style>
  <w:style w:type="character" w:customStyle="1" w:styleId="Heading3Char">
    <w:name w:val="Heading 3 Char"/>
    <w:aliases w:val="Š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796CAA"/>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val="0"/>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8"/>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link w:val="FeatureBoxChar"/>
    <w:qFormat/>
    <w:rsid w:val="00420DE7"/>
    <w:pPr>
      <w:pBdr>
        <w:top w:val="single" w:sz="24" w:space="10" w:color="1C438B"/>
        <w:left w:val="single" w:sz="24" w:space="10" w:color="1C438B"/>
        <w:bottom w:val="single" w:sz="24" w:space="10" w:color="1C438B"/>
        <w:right w:val="single" w:sz="24" w:space="10" w:color="1C438B"/>
      </w:pBdr>
      <w:spacing w:before="120"/>
    </w:pPr>
    <w:rPr>
      <w:rFonts w:cs="Arial"/>
      <w:lang w:eastAsia="zh-CN"/>
    </w:rPr>
  </w:style>
  <w:style w:type="paragraph" w:customStyle="1" w:styleId="FeatureBox2">
    <w:name w:val="Feature Box 2"/>
    <w:aliases w:val="ŠFeature Box 2"/>
    <w:basedOn w:val="FeatureBox"/>
    <w:next w:val="Normal"/>
    <w:qFormat/>
    <w:rsid w:val="001B160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PlaceholderText">
    <w:name w:val="Placeholder Text"/>
    <w:basedOn w:val="DefaultParagraphFont"/>
    <w:uiPriority w:val="99"/>
    <w:semiHidden/>
    <w:rsid w:val="00F071CD"/>
    <w:rPr>
      <w:color w:val="808080"/>
    </w:rPr>
  </w:style>
  <w:style w:type="paragraph" w:customStyle="1" w:styleId="Copyright">
    <w:name w:val="Copyright"/>
    <w:aliases w:val="ŠCopyright"/>
    <w:basedOn w:val="FeatureBox"/>
    <w:next w:val="Normal"/>
    <w:link w:val="CopyrightChar"/>
    <w:qFormat/>
    <w:rsid w:val="002407FC"/>
    <w:rPr>
      <w:sz w:val="20"/>
    </w:rPr>
  </w:style>
  <w:style w:type="character" w:customStyle="1" w:styleId="FeatureBoxChar">
    <w:name w:val="Feature Box Char"/>
    <w:aliases w:val="ŠFeature Box Char"/>
    <w:basedOn w:val="DefaultParagraphFont"/>
    <w:link w:val="FeatureBox"/>
    <w:rsid w:val="002407FC"/>
    <w:rPr>
      <w:rFonts w:ascii="Arial" w:hAnsi="Arial" w:cs="Arial"/>
      <w:lang w:val="en-AU" w:eastAsia="zh-CN"/>
    </w:rPr>
  </w:style>
  <w:style w:type="character" w:customStyle="1" w:styleId="CopyrightChar">
    <w:name w:val="Copyright Char"/>
    <w:aliases w:val="ŠCopyright Char"/>
    <w:basedOn w:val="FeatureBoxChar"/>
    <w:link w:val="Copyright"/>
    <w:rsid w:val="002407FC"/>
    <w:rPr>
      <w:rFonts w:ascii="Arial" w:hAnsi="Arial" w:cs="Arial"/>
      <w:sz w:val="20"/>
      <w:lang w:val="en-AU" w:eastAsia="zh-CN"/>
    </w:rPr>
  </w:style>
  <w:style w:type="paragraph" w:styleId="BalloonText">
    <w:name w:val="Balloon Text"/>
    <w:basedOn w:val="Normal"/>
    <w:link w:val="BalloonTextChar"/>
    <w:uiPriority w:val="99"/>
    <w:semiHidden/>
    <w:unhideWhenUsed/>
    <w:rsid w:val="00A12DE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DE0"/>
    <w:rPr>
      <w:rFonts w:ascii="Segoe UI" w:hAnsi="Segoe UI" w:cs="Segoe UI"/>
      <w:sz w:val="18"/>
      <w:szCs w:val="18"/>
      <w:lang w:val="en-AU"/>
    </w:rPr>
  </w:style>
  <w:style w:type="paragraph" w:customStyle="1" w:styleId="Default">
    <w:name w:val="Default"/>
    <w:rsid w:val="00A12DE0"/>
    <w:pPr>
      <w:autoSpaceDE w:val="0"/>
      <w:autoSpaceDN w:val="0"/>
      <w:adjustRightInd w:val="0"/>
      <w:spacing w:before="0" w:line="240" w:lineRule="auto"/>
    </w:pPr>
    <w:rPr>
      <w:rFonts w:ascii="Arial" w:hAnsi="Arial" w:cs="Arial"/>
      <w:color w:val="000000"/>
      <w:lang w:val="en-AU"/>
    </w:rPr>
  </w:style>
  <w:style w:type="table" w:customStyle="1" w:styleId="TableGrid10">
    <w:name w:val="Table Grid1"/>
    <w:basedOn w:val="TableNormal"/>
    <w:next w:val="TableGrid"/>
    <w:uiPriority w:val="39"/>
    <w:rsid w:val="0026503F"/>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D06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320637">
      <w:bodyDiv w:val="1"/>
      <w:marLeft w:val="0"/>
      <w:marRight w:val="0"/>
      <w:marTop w:val="0"/>
      <w:marBottom w:val="0"/>
      <w:divBdr>
        <w:top w:val="none" w:sz="0" w:space="0" w:color="auto"/>
        <w:left w:val="none" w:sz="0" w:space="0" w:color="auto"/>
        <w:bottom w:val="none" w:sz="0" w:space="0" w:color="auto"/>
        <w:right w:val="none" w:sz="0" w:space="0" w:color="auto"/>
      </w:divBdr>
    </w:div>
    <w:div w:id="1868833246">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standards.nsw.edu.au/wps/portal/nesa/mini-footer/copyright"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iview.abc.net.au/show/against-all-odds-inside-statistics/series/1/video/ZW1263A028S0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1E1A7819A3604197C09A278CE88602" ma:contentTypeVersion="13" ma:contentTypeDescription="Create a new document." ma:contentTypeScope="" ma:versionID="3269d3bb4d7cb0957a10a7f033fb2f0a">
  <xsd:schema xmlns:xsd="http://www.w3.org/2001/XMLSchema" xmlns:xs="http://www.w3.org/2001/XMLSchema" xmlns:p="http://schemas.microsoft.com/office/2006/metadata/properties" xmlns:ns2="a3893891-f0a0-41d0-9ee8-6d125d8ab872" xmlns:ns3="946db038-1dcd-4d2d-acc3-074dba562d2c" targetNamespace="http://schemas.microsoft.com/office/2006/metadata/properties" ma:root="true" ma:fieldsID="21ae04b34020c606b5f95e271a46d408" ns2:_="" ns3:_="">
    <xsd:import namespace="a3893891-f0a0-41d0-9ee8-6d125d8ab872"/>
    <xsd:import namespace="946db038-1dcd-4d2d-acc3-074dba562d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93891-f0a0-41d0-9ee8-6d125d8ab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db038-1dcd-4d2d-acc3-074dba562d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EC6DDE-B7EE-45FA-A7CA-C935D8B85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93891-f0a0-41d0-9ee8-6d125d8ab872"/>
    <ds:schemaRef ds:uri="946db038-1dcd-4d2d-acc3-074dba562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D2B643-E601-44A4-854F-C325B23F20D0}">
  <ds:schemaRefs>
    <ds:schemaRef ds:uri="http://schemas.microsoft.com/sharepoint/v3/contenttype/forms"/>
  </ds:schemaRefs>
</ds:datastoreItem>
</file>

<file path=customXml/itemProps3.xml><?xml version="1.0" encoding="utf-8"?>
<ds:datastoreItem xmlns:ds="http://schemas.openxmlformats.org/officeDocument/2006/customXml" ds:itemID="{AF3F8FDC-A571-4C2E-9D99-7ED103589665}">
  <ds:schemaRefs>
    <ds:schemaRef ds:uri="http://purl.org/dc/terms/"/>
    <ds:schemaRef ds:uri="http://www.w3.org/XML/1998/namespace"/>
    <ds:schemaRef ds:uri="http://schemas.microsoft.com/office/2006/metadata/properties"/>
    <ds:schemaRef ds:uri="http://schemas.microsoft.com/office/2006/documentManagement/types"/>
    <ds:schemaRef ds:uri="http://purl.org/dc/elements/1.1/"/>
    <ds:schemaRef ds:uri="http://schemas.microsoft.com/office/infopath/2007/PartnerControls"/>
    <ds:schemaRef ds:uri="946db038-1dcd-4d2d-acc3-074dba562d2c"/>
    <ds:schemaRef ds:uri="http://schemas.openxmlformats.org/package/2006/metadata/core-properties"/>
    <ds:schemaRef ds:uri="a3893891-f0a0-41d0-9ee8-6d125d8ab87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 TV Designing an experiment</dc:title>
  <dc:subject/>
  <dc:creator>NSW Department of Education</dc:creator>
  <cp:keywords>Stage 4</cp:keywords>
  <dc:description/>
  <cp:lastModifiedBy>Nikki Papas</cp:lastModifiedBy>
  <cp:revision>2</cp:revision>
  <dcterms:created xsi:type="dcterms:W3CDTF">2021-07-08T00:18:00Z</dcterms:created>
  <dcterms:modified xsi:type="dcterms:W3CDTF">2021-07-08T00:18:00Z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0x010100E31E1A7819A3604197C09A278CE88602</vt:lpwstr>
  </property>
</Properties>
</file>