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2B600" w14:textId="2C8C237B" w:rsidR="00856CD8" w:rsidRDefault="00101A6F" w:rsidP="00856CD8">
      <w:pPr>
        <w:pStyle w:val="Heading1"/>
      </w:pPr>
      <w:bookmarkStart w:id="0" w:name="_GoBack"/>
      <w:bookmarkEnd w:id="0"/>
      <w:r>
        <w:t>Against All Odds: Inside Statistics – Two-Way Tables</w:t>
      </w:r>
    </w:p>
    <w:p w14:paraId="6ABB658F" w14:textId="6D18AB80" w:rsidR="00250E49" w:rsidRDefault="00592F55" w:rsidP="0026503F">
      <w:pPr>
        <w:pStyle w:val="FeatureBox"/>
      </w:pPr>
      <w:r>
        <w:rPr>
          <w:rStyle w:val="Strong"/>
        </w:rPr>
        <w:t xml:space="preserve">ABC ME </w:t>
      </w:r>
      <w:r w:rsidR="00807D61">
        <w:rPr>
          <w:rStyle w:val="Strong"/>
        </w:rPr>
        <w:t>s</w:t>
      </w:r>
      <w:r w:rsidR="00250E49">
        <w:rPr>
          <w:rStyle w:val="Strong"/>
        </w:rPr>
        <w:t xml:space="preserve">creening </w:t>
      </w:r>
      <w:r w:rsidR="00807D61">
        <w:rPr>
          <w:rStyle w:val="Strong"/>
        </w:rPr>
        <w:t>details</w:t>
      </w:r>
      <w:r w:rsidR="00250E49" w:rsidRPr="005203DC">
        <w:rPr>
          <w:rStyle w:val="Strong"/>
        </w:rPr>
        <w:t>:</w:t>
      </w:r>
      <w:r w:rsidR="00250E49">
        <w:rPr>
          <w:rStyle w:val="Strong"/>
        </w:rPr>
        <w:t xml:space="preserve"> </w:t>
      </w:r>
      <w:r w:rsidR="00A313AD">
        <w:rPr>
          <w:rStyle w:val="Strong"/>
          <w:b w:val="0"/>
        </w:rPr>
        <w:t>Mon</w:t>
      </w:r>
      <w:r w:rsidR="007D3B29">
        <w:rPr>
          <w:rStyle w:val="Strong"/>
          <w:b w:val="0"/>
        </w:rPr>
        <w:t>day</w:t>
      </w:r>
      <w:r w:rsidR="00A313AD">
        <w:t xml:space="preserve"> 25</w:t>
      </w:r>
      <w:r w:rsidR="00A313AD" w:rsidRPr="00A313AD">
        <w:rPr>
          <w:vertAlign w:val="superscript"/>
        </w:rPr>
        <w:t>th</w:t>
      </w:r>
      <w:r w:rsidR="00250E49" w:rsidRPr="00250E49">
        <w:t xml:space="preserve"> </w:t>
      </w:r>
      <w:r w:rsidR="00A313AD">
        <w:t>May</w:t>
      </w:r>
      <w:r w:rsidR="00076473">
        <w:t xml:space="preserve">, 2020 at </w:t>
      </w:r>
      <w:r w:rsidR="0079511C">
        <w:t>2</w:t>
      </w:r>
      <w:r w:rsidR="00A313AD">
        <w:t>:50</w:t>
      </w:r>
      <w:r w:rsidR="0079511C">
        <w:t>p</w:t>
      </w:r>
      <w:r w:rsidR="00250E49">
        <w:t>m</w:t>
      </w:r>
    </w:p>
    <w:p w14:paraId="7FCE5DDE" w14:textId="2B580D84" w:rsidR="0026503F" w:rsidRDefault="0026503F" w:rsidP="0026503F">
      <w:pPr>
        <w:pStyle w:val="FeatureBox"/>
      </w:pPr>
      <w:r>
        <w:t xml:space="preserve">This episode can also be viewed on </w:t>
      </w:r>
      <w:hyperlink r:id="rId10" w:history="1">
        <w:r w:rsidRPr="00F071CD">
          <w:rPr>
            <w:rStyle w:val="Hyperlink"/>
          </w:rPr>
          <w:t>ABC iView</w:t>
        </w:r>
      </w:hyperlink>
      <w:r>
        <w:t xml:space="preserve"> after the scheduled screening time.</w:t>
      </w:r>
    </w:p>
    <w:p w14:paraId="4C2FB171" w14:textId="1CFCF2BB" w:rsidR="00F071CD" w:rsidRDefault="00F071CD" w:rsidP="0026503F">
      <w:pPr>
        <w:pStyle w:val="FeatureBox"/>
      </w:pPr>
      <w:r>
        <w:rPr>
          <w:rStyle w:val="Strong"/>
        </w:rPr>
        <w:t xml:space="preserve">Key learning areas: </w:t>
      </w:r>
      <w:r w:rsidR="00A313AD">
        <w:t>Mathematics</w:t>
      </w:r>
    </w:p>
    <w:p w14:paraId="5B1EE6A4" w14:textId="77777777" w:rsidR="0026503F" w:rsidRPr="0026503F" w:rsidRDefault="0026503F" w:rsidP="0026503F">
      <w:pPr>
        <w:pStyle w:val="FeatureBox"/>
      </w:pPr>
      <w:r w:rsidRPr="0026503F">
        <w:rPr>
          <w:b/>
        </w:rPr>
        <w:t>Level:</w:t>
      </w:r>
      <w:r w:rsidRPr="0026503F">
        <w:t xml:space="preserve"> secondary</w:t>
      </w:r>
    </w:p>
    <w:p w14:paraId="65B45B19" w14:textId="6EDC5914" w:rsidR="005203DC" w:rsidRPr="00A313AD" w:rsidRDefault="005203DC" w:rsidP="0026503F">
      <w:pPr>
        <w:pStyle w:val="FeatureBox"/>
      </w:pPr>
      <w:r w:rsidRPr="4525DF94">
        <w:rPr>
          <w:rStyle w:val="Strong"/>
        </w:rPr>
        <w:t xml:space="preserve">About: </w:t>
      </w:r>
      <w:r w:rsidR="00A313AD">
        <w:rPr>
          <w:rStyle w:val="Strong"/>
          <w:b w:val="0"/>
        </w:rPr>
        <w:t>One city surveyed the happiness of its residents. Two-way tables help organise the data and tease out relationships between happiness levels and opinions about aspects of the city itself.</w:t>
      </w:r>
    </w:p>
    <w:p w14:paraId="33808BD4" w14:textId="08828501" w:rsidR="00BE5959" w:rsidRDefault="00BE5959" w:rsidP="00BE5959">
      <w:pPr>
        <w:pStyle w:val="Heading2"/>
      </w:pPr>
      <w:r>
        <w:t>Before the episode</w:t>
      </w:r>
    </w:p>
    <w:p w14:paraId="12353149" w14:textId="22833A46" w:rsidR="00BE5959" w:rsidRPr="0026503F" w:rsidRDefault="0079511C" w:rsidP="0026503F">
      <w:pPr>
        <w:pStyle w:val="ListNumber"/>
      </w:pPr>
      <w:r>
        <w:t>D</w:t>
      </w:r>
      <w:r w:rsidR="005172E2">
        <w:t>efine the following terms: categorical va</w:t>
      </w:r>
      <w:r w:rsidR="00212C12">
        <w:t>riables, correlation, causation and</w:t>
      </w:r>
      <w:r w:rsidR="005172E2">
        <w:t xml:space="preserve"> census</w:t>
      </w:r>
      <w:r w:rsidR="00212C12">
        <w:t>.</w:t>
      </w:r>
    </w:p>
    <w:p w14:paraId="7F13D0C8" w14:textId="6532E0BE" w:rsidR="00A00772" w:rsidRDefault="005172E2" w:rsidP="0026503F">
      <w:pPr>
        <w:pStyle w:val="ListNumber"/>
      </w:pPr>
      <w:r>
        <w:t>This episode is focused around data collected by the Somerville council in Massachusetts in their annual ‘Happiness Survey’.</w:t>
      </w:r>
      <w:r w:rsidR="009A5E89">
        <w:t xml:space="preserve"> A sample of the questions from the survey are listed below.</w:t>
      </w:r>
      <w:r>
        <w:t xml:space="preserve"> On a rating of 1 to 10 (1 being very unhappy or unsatisfied and 10 being very happy or very satisfied) how would you rate yourself and your neighbourhood on the following questions?</w:t>
      </w:r>
    </w:p>
    <w:p w14:paraId="416780F7" w14:textId="77777777" w:rsidR="00C66BC7" w:rsidRPr="0079511C" w:rsidRDefault="00C66BC7" w:rsidP="0079511C">
      <w:pPr>
        <w:pStyle w:val="ListNumber2"/>
      </w:pPr>
      <w:r>
        <w:t xml:space="preserve">How </w:t>
      </w:r>
      <w:r w:rsidRPr="0079511C">
        <w:t>happy are you right now?</w:t>
      </w:r>
    </w:p>
    <w:p w14:paraId="55974E7F" w14:textId="77777777" w:rsidR="00C66BC7" w:rsidRPr="0079511C" w:rsidRDefault="00C66BC7" w:rsidP="0079511C">
      <w:pPr>
        <w:pStyle w:val="ListNumber2"/>
      </w:pPr>
      <w:r w:rsidRPr="0079511C">
        <w:t>How satisfied are you with your suburb as a place to live?</w:t>
      </w:r>
    </w:p>
    <w:p w14:paraId="7B4D9EC1" w14:textId="77777777" w:rsidR="00EA7107" w:rsidRPr="0079511C" w:rsidRDefault="00C66BC7" w:rsidP="0079511C">
      <w:pPr>
        <w:pStyle w:val="ListNumber2"/>
      </w:pPr>
      <w:r w:rsidRPr="0079511C">
        <w:t>How proud are you to be a resident of your neighbourhood?</w:t>
      </w:r>
    </w:p>
    <w:p w14:paraId="147C53ED" w14:textId="77777777" w:rsidR="00EA7107" w:rsidRDefault="00EA7107" w:rsidP="0079511C">
      <w:pPr>
        <w:pStyle w:val="ListNumber2"/>
      </w:pPr>
      <w:r w:rsidRPr="0079511C">
        <w:t>How satisfied</w:t>
      </w:r>
      <w:r>
        <w:t xml:space="preserve"> are you with the beauty or physical setting of your neighbourhood?</w:t>
      </w:r>
    </w:p>
    <w:p w14:paraId="33BDE39A" w14:textId="47CF5B84" w:rsidR="008C4358" w:rsidRPr="0026503F" w:rsidRDefault="00EA7107" w:rsidP="0026503F">
      <w:pPr>
        <w:pStyle w:val="ListNumber"/>
      </w:pPr>
      <w:r>
        <w:t xml:space="preserve">If you ran the above survey with your class, what do you think would </w:t>
      </w:r>
      <w:r w:rsidR="00212C12">
        <w:t>be the best way to display data?</w:t>
      </w:r>
    </w:p>
    <w:p w14:paraId="69E87E73" w14:textId="0C113426" w:rsidR="00BE5959" w:rsidRDefault="009861DB" w:rsidP="00BE5959">
      <w:pPr>
        <w:pStyle w:val="ListNumber"/>
        <w:numPr>
          <w:ilvl w:val="0"/>
          <w:numId w:val="0"/>
        </w:numPr>
        <w:rPr>
          <w:lang w:eastAsia="zh-CN"/>
        </w:rPr>
      </w:pPr>
      <w:r w:rsidRPr="009861DB">
        <w:rPr>
          <w:noProof/>
          <w:lang w:eastAsia="en-AU"/>
        </w:rPr>
        <mc:AlternateContent>
          <mc:Choice Requires="wps">
            <w:drawing>
              <wp:inline distT="0" distB="0" distL="0" distR="0" wp14:anchorId="0B0A4098" wp14:editId="3A30ACEE">
                <wp:extent cx="6120000" cy="1495109"/>
                <wp:effectExtent l="0" t="0" r="14605" b="10160"/>
                <wp:docPr id="6" name="Text Box 2" descr="A blank text box for students to respo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95109"/>
                        </a:xfrm>
                        <a:prstGeom prst="rect">
                          <a:avLst/>
                        </a:prstGeom>
                        <a:solidFill>
                          <a:srgbClr val="FFFFFF"/>
                        </a:solidFill>
                        <a:ln w="9525">
                          <a:solidFill>
                            <a:srgbClr val="000000"/>
                          </a:solidFill>
                          <a:miter lim="800000"/>
                          <a:headEnd/>
                          <a:tailEnd/>
                        </a:ln>
                      </wps:spPr>
                      <wps:txbx>
                        <w:txbxContent>
                          <w:p w14:paraId="4BA7AB2A" w14:textId="0A2F895C" w:rsidR="009861DB" w:rsidRDefault="009861DB" w:rsidP="009861DB"/>
                        </w:txbxContent>
                      </wps:txbx>
                      <wps:bodyPr rot="0" vert="horz" wrap="square" lIns="91440" tIns="45720" rIns="91440" bIns="45720" anchor="t" anchorCtr="0">
                        <a:noAutofit/>
                      </wps:bodyPr>
                    </wps:wsp>
                  </a:graphicData>
                </a:graphic>
              </wp:inline>
            </w:drawing>
          </mc:Choice>
          <mc:Fallback>
            <w:pict>
              <v:shapetype w14:anchorId="0B0A4098" id="_x0000_t202" coordsize="21600,21600" o:spt="202" path="m,l,21600r21600,l21600,xe">
                <v:stroke joinstyle="miter"/>
                <v:path gradientshapeok="t" o:connecttype="rect"/>
              </v:shapetype>
              <v:shape id="Text Box 2" o:spid="_x0000_s1026" type="#_x0000_t202" alt="A blank text box for students to respond" style="width:481.9pt;height:1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">
                <v:textbox>
                  <w:txbxContent>
                    <w:p w14:paraId="4BA7AB2A" w14:textId="0A2F895C" w:rsidR="009861DB" w:rsidRDefault="009861DB" w:rsidP="009861DB"/>
                  </w:txbxContent>
                </v:textbox>
                <w10:anchorlock/>
              </v:shape>
            </w:pict>
          </mc:Fallback>
        </mc:AlternateContent>
      </w:r>
    </w:p>
    <w:p w14:paraId="4DF805B6" w14:textId="275FE397" w:rsidR="00BE5959" w:rsidRDefault="00BE5959" w:rsidP="00BE5959">
      <w:pPr>
        <w:pStyle w:val="Heading2"/>
      </w:pPr>
      <w:r>
        <w:lastRenderedPageBreak/>
        <w:t>During</w:t>
      </w:r>
      <w:r w:rsidRPr="00BE5959">
        <w:t xml:space="preserve"> the episode</w:t>
      </w:r>
    </w:p>
    <w:p w14:paraId="15258BC1" w14:textId="35532BC6" w:rsidR="00EF5D63" w:rsidRDefault="00EF5D63" w:rsidP="00EF5D63">
      <w:pPr>
        <w:pStyle w:val="ListNumber"/>
        <w:numPr>
          <w:ilvl w:val="0"/>
          <w:numId w:val="39"/>
        </w:numPr>
      </w:pPr>
      <w:r>
        <w:t>Somerville has a diverse population. List the 3 categories of people that are mentioned at the beginning of the episode.</w:t>
      </w:r>
    </w:p>
    <w:p w14:paraId="2EA61950" w14:textId="5ABCC1EB" w:rsidR="00BE5959" w:rsidRDefault="0079511C" w:rsidP="0026503F">
      <w:pPr>
        <w:pStyle w:val="ListNumber"/>
      </w:pPr>
      <w:r>
        <w:t>In a fraction, w</w:t>
      </w:r>
      <w:r w:rsidR="005855E5">
        <w:t>hat is the difference between a numerator and a denominator?</w:t>
      </w:r>
      <w:r>
        <w:t xml:space="preserve"> In the two-way table, what is the denominator of each fraction showing?</w:t>
      </w:r>
    </w:p>
    <w:p w14:paraId="128FBB37" w14:textId="6AAEC57D" w:rsidR="008C4358" w:rsidRPr="0026503F" w:rsidRDefault="00EF5D63" w:rsidP="005C3647">
      <w:pPr>
        <w:pStyle w:val="ListNumber"/>
      </w:pPr>
      <w:r>
        <w:t>Looking at the two</w:t>
      </w:r>
      <w:r w:rsidR="005C3647">
        <w:t>-way table shown during the episode, how many people completed the survey in total and of those people how many of them indicated that they were happy?</w:t>
      </w:r>
    </w:p>
    <w:p w14:paraId="4FF929B5" w14:textId="27D1D8AB" w:rsidR="00F071CD" w:rsidRDefault="009861DB" w:rsidP="00BE5959">
      <w:pPr>
        <w:pStyle w:val="ListNumber"/>
        <w:numPr>
          <w:ilvl w:val="0"/>
          <w:numId w:val="0"/>
        </w:numPr>
        <w:rPr>
          <w:lang w:eastAsia="zh-CN"/>
        </w:rPr>
      </w:pPr>
      <w:r w:rsidRPr="009861DB">
        <w:rPr>
          <w:noProof/>
          <w:lang w:eastAsia="en-AU"/>
        </w:rPr>
        <mc:AlternateContent>
          <mc:Choice Requires="wps">
            <w:drawing>
              <wp:inline distT="0" distB="0" distL="0" distR="0" wp14:anchorId="5E9B1BCB" wp14:editId="5229350E">
                <wp:extent cx="6119495" cy="1542779"/>
                <wp:effectExtent l="0" t="0" r="14605" b="19685"/>
                <wp:docPr id="217" name="Text Box 2" descr="A blank text box for students to respo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542779"/>
                        </a:xfrm>
                        <a:prstGeom prst="rect">
                          <a:avLst/>
                        </a:prstGeom>
                        <a:solidFill>
                          <a:srgbClr val="FFFFFF"/>
                        </a:solidFill>
                        <a:ln w="9525">
                          <a:solidFill>
                            <a:srgbClr val="000000"/>
                          </a:solidFill>
                          <a:miter lim="800000"/>
                          <a:headEnd/>
                          <a:tailEnd/>
                        </a:ln>
                      </wps:spPr>
                      <wps:txbx>
                        <w:txbxContent>
                          <w:p w14:paraId="6BD6C458" w14:textId="46C4D72D" w:rsidR="009861DB" w:rsidRDefault="009861DB"/>
                        </w:txbxContent>
                      </wps:txbx>
                      <wps:bodyPr rot="0" vert="horz" wrap="square" lIns="91440" tIns="45720" rIns="91440" bIns="45720" anchor="t" anchorCtr="0">
                        <a:noAutofit/>
                      </wps:bodyPr>
                    </wps:wsp>
                  </a:graphicData>
                </a:graphic>
              </wp:inline>
            </w:drawing>
          </mc:Choice>
          <mc:Fallback>
            <w:pict>
              <v:shape w14:anchorId="5E9B1BCB" id="_x0000_s1027" type="#_x0000_t202" alt="A blank text box for students to respond" style="width:481.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">
                <v:textbox>
                  <w:txbxContent>
                    <w:p w14:paraId="6BD6C458" w14:textId="46C4D72D" w:rsidR="009861DB" w:rsidRDefault="009861DB"/>
                  </w:txbxContent>
                </v:textbox>
                <w10:anchorlock/>
              </v:shape>
            </w:pict>
          </mc:Fallback>
        </mc:AlternateContent>
      </w:r>
    </w:p>
    <w:p w14:paraId="78D48525" w14:textId="07F501DD" w:rsidR="00BE5959" w:rsidRDefault="00BE5959" w:rsidP="00BE5959">
      <w:pPr>
        <w:pStyle w:val="Heading2"/>
      </w:pPr>
      <w:r>
        <w:t>After the episode</w:t>
      </w:r>
    </w:p>
    <w:p w14:paraId="0DD51103" w14:textId="1AB431F2" w:rsidR="00676F86" w:rsidRDefault="00101A6F" w:rsidP="007D3B29">
      <w:pPr>
        <w:pStyle w:val="ListNumber"/>
        <w:numPr>
          <w:ilvl w:val="0"/>
          <w:numId w:val="38"/>
        </w:numPr>
      </w:pPr>
      <w:r>
        <w:t>Data analyst, Daniel Hadley spoke about the ‘average’ happiness score being a 7.5. ‘Average’ is a common term used to describe the ‘mean’ of a data set. How do you calculate the ‘mean’?</w:t>
      </w:r>
    </w:p>
    <w:p w14:paraId="7A0B4A50" w14:textId="60DF1D43" w:rsidR="007D3B29" w:rsidRDefault="00EF5D63" w:rsidP="00EB3638">
      <w:pPr>
        <w:pStyle w:val="ListNumber"/>
      </w:pPr>
      <w:r>
        <w:t>The presenter makes a statement that “correlation isn’t necessarily causation”. In your own words describe what this means.</w:t>
      </w:r>
    </w:p>
    <w:p w14:paraId="6A7270D9" w14:textId="77777777" w:rsidR="0079511C" w:rsidRDefault="0079511C" w:rsidP="0079511C">
      <w:pPr>
        <w:pStyle w:val="ListNumber"/>
        <w:numPr>
          <w:ilvl w:val="0"/>
          <w:numId w:val="0"/>
        </w:numPr>
        <w:ind w:left="652"/>
      </w:pPr>
    </w:p>
    <w:p w14:paraId="7333461E" w14:textId="77777777" w:rsidR="005C3647" w:rsidRDefault="00BE5959" w:rsidP="00F071CD">
      <w:pPr>
        <w:pStyle w:val="FeatureBox2"/>
      </w:pPr>
      <w:r w:rsidRPr="00BE5959">
        <w:rPr>
          <w:rStyle w:val="Strong"/>
        </w:rPr>
        <w:t>Follow-up activity:</w:t>
      </w:r>
      <w:r w:rsidR="00676F86">
        <w:t xml:space="preserve"> </w:t>
      </w:r>
    </w:p>
    <w:p w14:paraId="7969BA18" w14:textId="65907DB4" w:rsidR="005C3647" w:rsidRDefault="005C3647" w:rsidP="00F071CD">
      <w:pPr>
        <w:pStyle w:val="FeatureBox2"/>
      </w:pPr>
      <w:r>
        <w:t xml:space="preserve">Collect 20 books from around your house and record whether they have a hard or soft cover and if they are more than or less than 100 words. Display your findings in a two-way table. </w:t>
      </w:r>
    </w:p>
    <w:p w14:paraId="158E288E" w14:textId="1C259E2C" w:rsidR="00F16BD9" w:rsidRDefault="005C3647" w:rsidP="00F071CD">
      <w:pPr>
        <w:pStyle w:val="FeatureBox2"/>
      </w:pPr>
      <w:r>
        <w:t>This investigation could also be done by collecting data from DVDs and looking a</w:t>
      </w:r>
      <w:r w:rsidR="0079511C">
        <w:t>t</w:t>
      </w:r>
      <w:r>
        <w:t xml:space="preserve"> movie ratings (i.e. G, PG, M etc.) and duration of movies.</w:t>
      </w:r>
    </w:p>
    <w:p w14:paraId="39A1DF6A" w14:textId="77777777" w:rsidR="005C3647" w:rsidRPr="005C3647" w:rsidRDefault="005C3647" w:rsidP="005C3647">
      <w:pPr>
        <w:rPr>
          <w:lang w:eastAsia="zh-CN"/>
        </w:rPr>
      </w:pPr>
    </w:p>
    <w:p w14:paraId="0A01693A" w14:textId="77777777" w:rsidR="005C3647" w:rsidRPr="005C3647" w:rsidRDefault="005C3647" w:rsidP="005C3647">
      <w:pPr>
        <w:rPr>
          <w:lang w:eastAsia="zh-CN"/>
        </w:rPr>
      </w:pPr>
    </w:p>
    <w:p w14:paraId="02D43842" w14:textId="77777777" w:rsidR="00357CF1" w:rsidRDefault="00357CF1">
      <w:pPr>
        <w:spacing w:after="0"/>
        <w:rPr>
          <w:rFonts w:ascii="Arial Rounded MT Bold" w:eastAsiaTheme="majorEastAsia" w:hAnsi="Arial Rounded MT Bold" w:cstheme="majorBidi"/>
          <w:color w:val="1C438B"/>
          <w:sz w:val="48"/>
          <w:szCs w:val="32"/>
          <w:lang w:eastAsia="zh-CN"/>
        </w:rPr>
      </w:pPr>
      <w:r>
        <w:rPr>
          <w:lang w:eastAsia="zh-CN"/>
        </w:rPr>
        <w:br w:type="page"/>
      </w:r>
    </w:p>
    <w:p w14:paraId="77C9B45D" w14:textId="7B72EBFD" w:rsidR="00BE5959" w:rsidRDefault="00DF13A8" w:rsidP="00F16BD9">
      <w:pPr>
        <w:pStyle w:val="Heading1"/>
        <w:rPr>
          <w:lang w:eastAsia="zh-CN"/>
        </w:rPr>
      </w:pPr>
      <w:r>
        <w:rPr>
          <w:lang w:eastAsia="zh-CN"/>
        </w:rPr>
        <w:t>NSW t</w:t>
      </w:r>
      <w:r w:rsidR="00F16BD9">
        <w:rPr>
          <w:lang w:eastAsia="zh-CN"/>
        </w:rPr>
        <w:t>eacher notes</w:t>
      </w:r>
    </w:p>
    <w:p w14:paraId="12E2B20D" w14:textId="77777777" w:rsidR="00AB0E50" w:rsidRPr="00F6494C" w:rsidRDefault="00AB0E50" w:rsidP="00F6494C">
      <w:r w:rsidRPr="00AB0E50">
        <w:t xml:space="preserve">This is an optional standalone resource that could supplement student learning. The activities align with syllabus outcomes across stages and can be modified to meet the needs of your students. Students can complete the activities while learning at home and in the classroom. All activities can be completed without access to the internet or a device. Teachers could collect student work to offer feedback and as </w:t>
      </w:r>
      <w:r>
        <w:t xml:space="preserve">evidence of </w:t>
      </w:r>
      <w:r w:rsidRPr="00F6494C">
        <w:t>learning.</w:t>
      </w:r>
    </w:p>
    <w:p w14:paraId="19A7F770" w14:textId="0447D087" w:rsidR="00420DE7" w:rsidRPr="00F6494C" w:rsidRDefault="00420DE7" w:rsidP="00F6494C">
      <w:pPr>
        <w:pStyle w:val="Heading2"/>
      </w:pPr>
      <w:r w:rsidRPr="00F6494C">
        <w:t xml:space="preserve">Learning </w:t>
      </w:r>
      <w:r w:rsidR="00AF4D0B" w:rsidRPr="00F6494C">
        <w:t>intentions</w:t>
      </w:r>
    </w:p>
    <w:p w14:paraId="32C79294" w14:textId="191F7000" w:rsidR="00420DE7" w:rsidRDefault="00357CF1" w:rsidP="00420DE7">
      <w:pPr>
        <w:pStyle w:val="ListBullet"/>
        <w:rPr>
          <w:lang w:eastAsia="zh-CN"/>
        </w:rPr>
      </w:pPr>
      <w:r>
        <w:rPr>
          <w:lang w:eastAsia="zh-CN"/>
        </w:rPr>
        <w:t>To be able to create a two-way table to organise data involving two categorical variables</w:t>
      </w:r>
    </w:p>
    <w:p w14:paraId="15976B43" w14:textId="62447D45" w:rsidR="0035264F" w:rsidRDefault="00357CF1" w:rsidP="0035264F">
      <w:pPr>
        <w:pStyle w:val="ListBullet"/>
        <w:rPr>
          <w:lang w:eastAsia="zh-CN"/>
        </w:rPr>
      </w:pPr>
      <w:r>
        <w:rPr>
          <w:lang w:eastAsia="zh-CN"/>
        </w:rPr>
        <w:t>To understand the data that is represented in a two-way table and draw conclusions from the data displayed</w:t>
      </w:r>
    </w:p>
    <w:p w14:paraId="5BD97F9C" w14:textId="4070158E" w:rsidR="00420DE7" w:rsidRDefault="00420DE7" w:rsidP="00420DE7">
      <w:pPr>
        <w:pStyle w:val="Heading2"/>
      </w:pPr>
      <w:r>
        <w:t>Resources</w:t>
      </w:r>
    </w:p>
    <w:p w14:paraId="00F356F2" w14:textId="13092C37" w:rsidR="00420DE7" w:rsidRDefault="00357CF1" w:rsidP="00420DE7">
      <w:pPr>
        <w:pStyle w:val="ListBullet"/>
        <w:rPr>
          <w:lang w:eastAsia="zh-CN"/>
        </w:rPr>
      </w:pPr>
      <w:r>
        <w:rPr>
          <w:lang w:eastAsia="zh-CN"/>
        </w:rPr>
        <w:t>20 books or DVDs for the follow-up activity</w:t>
      </w:r>
    </w:p>
    <w:p w14:paraId="03A9BAAC" w14:textId="7239251B" w:rsidR="00F16BD9" w:rsidRDefault="00250E49" w:rsidP="756A41F0">
      <w:pPr>
        <w:pStyle w:val="Heading2"/>
      </w:pPr>
      <w:r>
        <w:t xml:space="preserve">NSW </w:t>
      </w:r>
      <w:r w:rsidR="007D3B29">
        <w:t>KLA</w:t>
      </w:r>
      <w:r>
        <w:t xml:space="preserve"> K-10 S</w:t>
      </w:r>
      <w:r w:rsidR="00F16BD9">
        <w:t xml:space="preserve">yllabus </w:t>
      </w:r>
      <w:r w:rsidR="005435FF">
        <w:t>outcomes</w:t>
      </w:r>
    </w:p>
    <w:tbl>
      <w:tblPr>
        <w:tblStyle w:val="Tableheader"/>
        <w:tblW w:w="9639" w:type="dxa"/>
        <w:tblInd w:w="-30" w:type="dxa"/>
        <w:tblLook w:val="0420" w:firstRow="1" w:lastRow="0" w:firstColumn="0" w:lastColumn="0" w:noHBand="0" w:noVBand="1"/>
        <w:tblDescription w:val="Alt text goes here for table"/>
      </w:tblPr>
      <w:tblGrid>
        <w:gridCol w:w="2148"/>
        <w:gridCol w:w="3745"/>
        <w:gridCol w:w="3746"/>
      </w:tblGrid>
      <w:tr w:rsidR="006307F4" w14:paraId="585C42AB" w14:textId="77777777" w:rsidTr="00A057B9">
        <w:trPr>
          <w:cnfStyle w:val="100000000000" w:firstRow="1" w:lastRow="0" w:firstColumn="0" w:lastColumn="0" w:oddVBand="0" w:evenVBand="0" w:oddHBand="0" w:evenHBand="0" w:firstRowFirstColumn="0" w:firstRowLastColumn="0" w:lastRowFirstColumn="0" w:lastRowLastColumn="0"/>
          <w:trHeight w:val="611"/>
        </w:trPr>
        <w:tc>
          <w:tcPr>
            <w:tcW w:w="2148" w:type="dxa"/>
          </w:tcPr>
          <w:p w14:paraId="257389D9" w14:textId="692EBB33" w:rsidR="006307F4" w:rsidRDefault="007D3B29" w:rsidP="00F16BD9">
            <w:pPr>
              <w:spacing w:before="192" w:after="192"/>
              <w:rPr>
                <w:lang w:eastAsia="zh-CN"/>
              </w:rPr>
            </w:pPr>
            <w:r>
              <w:rPr>
                <w:lang w:eastAsia="zh-CN"/>
              </w:rPr>
              <w:t>Outcome</w:t>
            </w:r>
          </w:p>
        </w:tc>
        <w:tc>
          <w:tcPr>
            <w:tcW w:w="3745" w:type="dxa"/>
          </w:tcPr>
          <w:p w14:paraId="5C7BFD9B" w14:textId="2231071A" w:rsidR="006307F4" w:rsidRDefault="00357CF1" w:rsidP="00F16BD9">
            <w:pPr>
              <w:rPr>
                <w:lang w:eastAsia="zh-CN"/>
              </w:rPr>
            </w:pPr>
            <w:r>
              <w:rPr>
                <w:lang w:eastAsia="zh-CN"/>
              </w:rPr>
              <w:t>Stage 3</w:t>
            </w:r>
          </w:p>
        </w:tc>
        <w:tc>
          <w:tcPr>
            <w:tcW w:w="3746" w:type="dxa"/>
          </w:tcPr>
          <w:p w14:paraId="1BBD10DB" w14:textId="05AA4B6E" w:rsidR="006307F4" w:rsidRDefault="007D3B29" w:rsidP="00F16BD9">
            <w:pPr>
              <w:rPr>
                <w:lang w:eastAsia="zh-CN"/>
              </w:rPr>
            </w:pPr>
            <w:r>
              <w:rPr>
                <w:lang w:eastAsia="zh-CN"/>
              </w:rPr>
              <w:t>Stage</w:t>
            </w:r>
            <w:r w:rsidR="00357CF1">
              <w:rPr>
                <w:lang w:eastAsia="zh-CN"/>
              </w:rPr>
              <w:t xml:space="preserve"> 4</w:t>
            </w:r>
          </w:p>
        </w:tc>
      </w:tr>
      <w:tr w:rsidR="00F17EF9" w14:paraId="39CCDA5B" w14:textId="77777777" w:rsidTr="00A057B9">
        <w:trPr>
          <w:cnfStyle w:val="000000100000" w:firstRow="0" w:lastRow="0" w:firstColumn="0" w:lastColumn="0" w:oddVBand="0" w:evenVBand="0" w:oddHBand="1" w:evenHBand="0" w:firstRowFirstColumn="0" w:firstRowLastColumn="0" w:lastRowFirstColumn="0" w:lastRowLastColumn="0"/>
          <w:trHeight w:val="611"/>
        </w:trPr>
        <w:tc>
          <w:tcPr>
            <w:tcW w:w="2148" w:type="dxa"/>
          </w:tcPr>
          <w:p w14:paraId="717A7378" w14:textId="37DA8BCB" w:rsidR="00F17EF9" w:rsidRDefault="00F17EF9" w:rsidP="00F16BD9">
            <w:pPr>
              <w:spacing w:before="192" w:after="192"/>
              <w:rPr>
                <w:lang w:eastAsia="zh-CN"/>
              </w:rPr>
            </w:pPr>
            <w:r>
              <w:rPr>
                <w:lang w:eastAsia="zh-CN"/>
              </w:rPr>
              <w:t>Fractions, decimals and percentages</w:t>
            </w:r>
          </w:p>
        </w:tc>
        <w:tc>
          <w:tcPr>
            <w:tcW w:w="3745" w:type="dxa"/>
          </w:tcPr>
          <w:p w14:paraId="01ACBDB4" w14:textId="4EB9C41F" w:rsidR="00F17EF9" w:rsidRDefault="00F17EF9" w:rsidP="00F16BD9">
            <w:pPr>
              <w:rPr>
                <w:lang w:eastAsia="zh-CN"/>
              </w:rPr>
            </w:pPr>
            <w:r w:rsidRPr="00F17EF9">
              <w:rPr>
                <w:b/>
                <w:lang w:eastAsia="zh-CN"/>
              </w:rPr>
              <w:t>MA3-7NA</w:t>
            </w:r>
            <w:r>
              <w:rPr>
                <w:lang w:eastAsia="zh-CN"/>
              </w:rPr>
              <w:t xml:space="preserve"> compares, orders and calculates with fractions, decimals and percentages</w:t>
            </w:r>
          </w:p>
        </w:tc>
        <w:tc>
          <w:tcPr>
            <w:tcW w:w="3746" w:type="dxa"/>
          </w:tcPr>
          <w:p w14:paraId="5AF666A6" w14:textId="77777777" w:rsidR="00F17EF9" w:rsidRDefault="00F17EF9" w:rsidP="00F16BD9">
            <w:pPr>
              <w:rPr>
                <w:lang w:eastAsia="zh-CN"/>
              </w:rPr>
            </w:pPr>
          </w:p>
        </w:tc>
      </w:tr>
      <w:tr w:rsidR="006307F4" w14:paraId="79A59143" w14:textId="77777777" w:rsidTr="00A057B9">
        <w:trPr>
          <w:cnfStyle w:val="000000010000" w:firstRow="0" w:lastRow="0" w:firstColumn="0" w:lastColumn="0" w:oddVBand="0" w:evenVBand="0" w:oddHBand="0" w:evenHBand="1" w:firstRowFirstColumn="0" w:firstRowLastColumn="0" w:lastRowFirstColumn="0" w:lastRowLastColumn="0"/>
          <w:trHeight w:val="470"/>
        </w:trPr>
        <w:tc>
          <w:tcPr>
            <w:tcW w:w="2148" w:type="dxa"/>
            <w:vAlign w:val="top"/>
          </w:tcPr>
          <w:p w14:paraId="667686C4" w14:textId="537CCF5B" w:rsidR="006307F4" w:rsidRPr="00592F55" w:rsidRDefault="00357CF1" w:rsidP="005C4970">
            <w:r>
              <w:t>Data</w:t>
            </w:r>
          </w:p>
        </w:tc>
        <w:tc>
          <w:tcPr>
            <w:tcW w:w="3745" w:type="dxa"/>
            <w:vAlign w:val="top"/>
          </w:tcPr>
          <w:p w14:paraId="6C1CF593" w14:textId="4310989E" w:rsidR="006307F4" w:rsidRPr="00F17EF9" w:rsidRDefault="00357CF1" w:rsidP="005C4970">
            <w:r w:rsidRPr="00F17EF9">
              <w:rPr>
                <w:b/>
                <w:color w:val="000000"/>
              </w:rPr>
              <w:t>MA3-18SP</w:t>
            </w:r>
            <w:r w:rsidRPr="00F17EF9">
              <w:rPr>
                <w:color w:val="000000"/>
              </w:rPr>
              <w:t xml:space="preserve"> uses appropriate methods to collect data and constructs, interprets and evaluates data displays, including dot plots, line graphs and two-way tables</w:t>
            </w:r>
          </w:p>
        </w:tc>
        <w:tc>
          <w:tcPr>
            <w:tcW w:w="3746" w:type="dxa"/>
            <w:vAlign w:val="top"/>
          </w:tcPr>
          <w:p w14:paraId="2E060995" w14:textId="2F1306D3" w:rsidR="006307F4" w:rsidRPr="00F17EF9" w:rsidRDefault="00357CF1" w:rsidP="005C4970">
            <w:r w:rsidRPr="00F17EF9">
              <w:rPr>
                <w:b/>
                <w:color w:val="000000"/>
              </w:rPr>
              <w:t>MA4-19SP</w:t>
            </w:r>
            <w:r w:rsidRPr="00F17EF9">
              <w:rPr>
                <w:color w:val="000000"/>
              </w:rPr>
              <w:t xml:space="preserve"> collects, represents and interprets single sets of data, using appropriate statistical displays</w:t>
            </w:r>
          </w:p>
        </w:tc>
      </w:tr>
      <w:tr w:rsidR="006307F4" w14:paraId="33460CD1" w14:textId="77777777" w:rsidTr="00A057B9">
        <w:trPr>
          <w:cnfStyle w:val="000000100000" w:firstRow="0" w:lastRow="0" w:firstColumn="0" w:lastColumn="0" w:oddVBand="0" w:evenVBand="0" w:oddHBand="1" w:evenHBand="0" w:firstRowFirstColumn="0" w:firstRowLastColumn="0" w:lastRowFirstColumn="0" w:lastRowLastColumn="0"/>
          <w:trHeight w:val="460"/>
        </w:trPr>
        <w:tc>
          <w:tcPr>
            <w:tcW w:w="2148" w:type="dxa"/>
            <w:vAlign w:val="top"/>
          </w:tcPr>
          <w:p w14:paraId="5FC2A21C" w14:textId="1F91A074" w:rsidR="006307F4" w:rsidRPr="00592F55" w:rsidRDefault="00357CF1" w:rsidP="005C4970">
            <w:r>
              <w:t>Single variable data analysis</w:t>
            </w:r>
          </w:p>
        </w:tc>
        <w:tc>
          <w:tcPr>
            <w:tcW w:w="3745" w:type="dxa"/>
            <w:vAlign w:val="top"/>
          </w:tcPr>
          <w:p w14:paraId="48D2063B" w14:textId="4E066444" w:rsidR="006307F4" w:rsidRPr="00F17EF9" w:rsidRDefault="006307F4" w:rsidP="005C4970"/>
        </w:tc>
        <w:tc>
          <w:tcPr>
            <w:tcW w:w="3746" w:type="dxa"/>
            <w:vAlign w:val="top"/>
          </w:tcPr>
          <w:p w14:paraId="3C45DB27" w14:textId="24E4F75D" w:rsidR="006307F4" w:rsidRPr="00F17EF9" w:rsidRDefault="00357CF1" w:rsidP="005C4970">
            <w:r w:rsidRPr="00F17EF9">
              <w:rPr>
                <w:b/>
                <w:color w:val="000000"/>
              </w:rPr>
              <w:t>MA4-20SP</w:t>
            </w:r>
            <w:r w:rsidRPr="00F17EF9">
              <w:rPr>
                <w:color w:val="000000"/>
              </w:rPr>
              <w:t xml:space="preserve"> analyses single sets of data using measures of location, and range</w:t>
            </w:r>
          </w:p>
        </w:tc>
      </w:tr>
      <w:tr w:rsidR="00A12DE0" w14:paraId="32554811" w14:textId="77777777" w:rsidTr="00A057B9">
        <w:trPr>
          <w:cnfStyle w:val="000000010000" w:firstRow="0" w:lastRow="0" w:firstColumn="0" w:lastColumn="0" w:oddVBand="0" w:evenVBand="0" w:oddHBand="0" w:evenHBand="1" w:firstRowFirstColumn="0" w:firstRowLastColumn="0" w:lastRowFirstColumn="0" w:lastRowLastColumn="0"/>
          <w:trHeight w:val="460"/>
        </w:trPr>
        <w:tc>
          <w:tcPr>
            <w:tcW w:w="2148" w:type="dxa"/>
            <w:vAlign w:val="top"/>
          </w:tcPr>
          <w:p w14:paraId="2DAF651E" w14:textId="782C3EEB" w:rsidR="00A12DE0" w:rsidRPr="00592F55" w:rsidRDefault="00357CF1" w:rsidP="005C4970">
            <w:r>
              <w:t>Working mathematically</w:t>
            </w:r>
          </w:p>
        </w:tc>
        <w:tc>
          <w:tcPr>
            <w:tcW w:w="3745" w:type="dxa"/>
            <w:vAlign w:val="top"/>
          </w:tcPr>
          <w:p w14:paraId="59BF4995" w14:textId="77777777" w:rsidR="00F17EF9" w:rsidRDefault="00357CF1" w:rsidP="005C4970">
            <w:pPr>
              <w:rPr>
                <w:color w:val="000000"/>
              </w:rPr>
            </w:pPr>
            <w:r w:rsidRPr="00F17EF9">
              <w:rPr>
                <w:b/>
                <w:color w:val="000000"/>
              </w:rPr>
              <w:t>MA3-1WM</w:t>
            </w:r>
            <w:r w:rsidRPr="00F17EF9">
              <w:rPr>
                <w:color w:val="000000"/>
              </w:rPr>
              <w:t xml:space="preserve"> describes and represents mathematical situations in a variety of ways using mathematical terminology and some conventions </w:t>
            </w:r>
          </w:p>
          <w:p w14:paraId="3CC70A90" w14:textId="6A805EBC" w:rsidR="00A12DE0" w:rsidRPr="00F17EF9" w:rsidRDefault="00357CF1" w:rsidP="005C4970">
            <w:r w:rsidRPr="00F17EF9">
              <w:rPr>
                <w:b/>
                <w:color w:val="000000"/>
              </w:rPr>
              <w:t>MA3-3WM</w:t>
            </w:r>
            <w:r w:rsidRPr="00F17EF9">
              <w:rPr>
                <w:color w:val="000000"/>
              </w:rPr>
              <w:t xml:space="preserve"> gives a valid reason for supporting one possible solution over another</w:t>
            </w:r>
          </w:p>
        </w:tc>
        <w:tc>
          <w:tcPr>
            <w:tcW w:w="3746" w:type="dxa"/>
            <w:vAlign w:val="top"/>
          </w:tcPr>
          <w:p w14:paraId="4A9B029F" w14:textId="77777777" w:rsidR="00F17EF9" w:rsidRDefault="00357CF1" w:rsidP="005C4970">
            <w:pPr>
              <w:rPr>
                <w:color w:val="000000"/>
              </w:rPr>
            </w:pPr>
            <w:r w:rsidRPr="00F17EF9">
              <w:rPr>
                <w:b/>
                <w:color w:val="000000"/>
              </w:rPr>
              <w:t>MA4-1WM</w:t>
            </w:r>
            <w:r w:rsidRPr="00F17EF9">
              <w:rPr>
                <w:color w:val="000000"/>
              </w:rPr>
              <w:t xml:space="preserve"> communicates and connects mathematical ideas using appropriate terminology, diagrams and symbols </w:t>
            </w:r>
          </w:p>
          <w:p w14:paraId="3AED07E9" w14:textId="473EADB6" w:rsidR="00A12DE0" w:rsidRPr="00F17EF9" w:rsidRDefault="00357CF1" w:rsidP="005C4970">
            <w:r w:rsidRPr="00F17EF9">
              <w:rPr>
                <w:b/>
                <w:color w:val="000000"/>
              </w:rPr>
              <w:t>MA4-3WM</w:t>
            </w:r>
            <w:r w:rsidRPr="00F17EF9">
              <w:rPr>
                <w:color w:val="000000"/>
              </w:rPr>
              <w:t xml:space="preserve"> recognises and explains mathematical relationships using reasoning</w:t>
            </w:r>
          </w:p>
        </w:tc>
      </w:tr>
    </w:tbl>
    <w:p w14:paraId="7DCD6FAB" w14:textId="17CDE1E0" w:rsidR="006307F4" w:rsidRPr="00F16BD9" w:rsidRDefault="00494978" w:rsidP="5AE43CC4">
      <w:pPr>
        <w:pStyle w:val="Copyright"/>
      </w:pPr>
      <w:r w:rsidRPr="007D3B29">
        <w:t xml:space="preserve">NSW </w:t>
      </w:r>
      <w:r w:rsidR="007D3B29">
        <w:t>KLA SYLLABUS</w:t>
      </w:r>
      <w:r w:rsidRPr="007D3B29">
        <w:t xml:space="preserve"> © </w:t>
      </w:r>
      <w:r w:rsidR="009437D2">
        <w:t>NSW Education Standards Authority (NESA) for and on behalf of the Crown in right of the State of New South Wales</w:t>
      </w:r>
      <w:r w:rsidR="007D3B29">
        <w:t xml:space="preserve"> 20XX</w:t>
      </w:r>
      <w:r w:rsidR="009437D2">
        <w:t>.</w:t>
      </w:r>
      <w:r w:rsidR="002407FC">
        <w:t xml:space="preserve"> See the </w:t>
      </w:r>
      <w:hyperlink r:id="rId11">
        <w:r w:rsidR="002407FC" w:rsidRPr="5AE43CC4">
          <w:rPr>
            <w:rStyle w:val="Hyperlink"/>
            <w:sz w:val="20"/>
            <w:szCs w:val="20"/>
          </w:rPr>
          <w:t>NESA website</w:t>
        </w:r>
      </w:hyperlink>
      <w:r w:rsidR="002407FC">
        <w:t xml:space="preserve"> for additional copyright information.</w:t>
      </w:r>
    </w:p>
    <w:sectPr w:rsidR="006307F4" w:rsidRPr="00F16BD9" w:rsidSect="00A057B9">
      <w:footerReference w:type="even" r:id="rId12"/>
      <w:footerReference w:type="default" r:id="rId13"/>
      <w:headerReference w:type="first" r:id="rId14"/>
      <w:footerReference w:type="first" r:id="rId15"/>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F2299" w14:textId="77777777" w:rsidR="00A63C62" w:rsidRDefault="00A63C62">
      <w:r>
        <w:separator/>
      </w:r>
    </w:p>
    <w:p w14:paraId="3D6F3ECB" w14:textId="77777777" w:rsidR="00A63C62" w:rsidRDefault="00A63C62"/>
  </w:endnote>
  <w:endnote w:type="continuationSeparator" w:id="0">
    <w:p w14:paraId="052B8BAF" w14:textId="77777777" w:rsidR="00A63C62" w:rsidRDefault="00A63C62">
      <w:r>
        <w:continuationSeparator/>
      </w:r>
    </w:p>
    <w:p w14:paraId="729A7C3B" w14:textId="77777777" w:rsidR="00A63C62" w:rsidRDefault="00A63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CD7C" w14:textId="0E6429AA"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79511C">
      <w:rPr>
        <w:noProof/>
      </w:rPr>
      <w:t>4</w:t>
    </w:r>
    <w:r w:rsidRPr="002810D3">
      <w:fldChar w:fldCharType="end"/>
    </w:r>
    <w:r w:rsidRPr="002810D3">
      <w:tab/>
    </w:r>
    <w:r w:rsidR="00A057B9">
      <w:t>ABC TV Education resources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3CBB1" w14:textId="11C51896"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5F765E">
      <w:rPr>
        <w:noProof/>
      </w:rPr>
      <w:t>Jul-21</w:t>
    </w:r>
    <w:r w:rsidRPr="002810D3">
      <w:fldChar w:fldCharType="end"/>
    </w:r>
    <w:r w:rsidR="00D91F0C">
      <w:t>20</w:t>
    </w:r>
    <w:r w:rsidRPr="002810D3">
      <w:tab/>
    </w:r>
    <w:r w:rsidRPr="002810D3">
      <w:fldChar w:fldCharType="begin"/>
    </w:r>
    <w:r w:rsidRPr="002810D3">
      <w:instrText xml:space="preserve"> PAGE </w:instrText>
    </w:r>
    <w:r w:rsidRPr="002810D3">
      <w:fldChar w:fldCharType="separate"/>
    </w:r>
    <w:r w:rsidR="0079511C">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AA46"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669B6444" wp14:editId="0A283564">
          <wp:extent cx="360000" cy="382978"/>
          <wp:effectExtent l="0" t="0" r="2540" b="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360000" cy="38297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66F9B" w14:textId="77777777" w:rsidR="00A63C62" w:rsidRDefault="00A63C62">
      <w:r>
        <w:separator/>
      </w:r>
    </w:p>
    <w:p w14:paraId="7E44639F" w14:textId="77777777" w:rsidR="00A63C62" w:rsidRDefault="00A63C62"/>
  </w:footnote>
  <w:footnote w:type="continuationSeparator" w:id="0">
    <w:p w14:paraId="6E1D26EC" w14:textId="77777777" w:rsidR="00A63C62" w:rsidRDefault="00A63C62">
      <w:r>
        <w:continuationSeparator/>
      </w:r>
    </w:p>
    <w:p w14:paraId="6F6B15AE" w14:textId="77777777" w:rsidR="00A63C62" w:rsidRDefault="00A63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840AD"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A830D59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A8369B9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5"/>
  </w:num>
  <w:num w:numId="2">
    <w:abstractNumId w:val="13"/>
  </w:num>
  <w:num w:numId="3">
    <w:abstractNumId w:val="17"/>
  </w:num>
  <w:num w:numId="4">
    <w:abstractNumId w:val="1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11"/>
  </w:num>
  <w:num w:numId="9">
    <w:abstractNumId w:val="16"/>
  </w:num>
  <w:num w:numId="10">
    <w:abstractNumId w:val="10"/>
  </w:num>
  <w:num w:numId="11">
    <w:abstractNumId w:val="14"/>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1"/>
  </w:num>
  <w:num w:numId="22">
    <w:abstractNumId w:val="18"/>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5"/>
  </w:num>
  <w:num w:numId="32">
    <w:abstractNumId w:val="21"/>
  </w:num>
  <w:num w:numId="33">
    <w:abstractNumId w:val="17"/>
  </w:num>
  <w:num w:numId="34">
    <w:abstractNumId w:val="19"/>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gutterAtTop/>
  <w:activeWritingStyle w:appName="MSWord" w:lang="en-AU" w:vendorID="64" w:dllVersion="4096" w:nlCheck="1" w:checkStyle="0"/>
  <w:activeWritingStyle w:appName="MSWord" w:lang="en-AU" w:vendorID="64" w:dllVersion="6" w:nlCheck="1" w:checkStyle="1"/>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CA"/>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6473"/>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A7D98"/>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890"/>
    <w:rsid w:val="000C6F89"/>
    <w:rsid w:val="000C7D4F"/>
    <w:rsid w:val="000D2055"/>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1A6F"/>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1604"/>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C12"/>
    <w:rsid w:val="002136B3"/>
    <w:rsid w:val="00214CC9"/>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3D9F"/>
    <w:rsid w:val="00234830"/>
    <w:rsid w:val="002368C7"/>
    <w:rsid w:val="0023726F"/>
    <w:rsid w:val="0024041A"/>
    <w:rsid w:val="002407FC"/>
    <w:rsid w:val="002410C8"/>
    <w:rsid w:val="00241C93"/>
    <w:rsid w:val="0024214A"/>
    <w:rsid w:val="002441F2"/>
    <w:rsid w:val="0024438F"/>
    <w:rsid w:val="002447C2"/>
    <w:rsid w:val="002458D0"/>
    <w:rsid w:val="00245EC0"/>
    <w:rsid w:val="002462B7"/>
    <w:rsid w:val="00247FF0"/>
    <w:rsid w:val="00250C2E"/>
    <w:rsid w:val="00250E49"/>
    <w:rsid w:val="00250F4A"/>
    <w:rsid w:val="00251349"/>
    <w:rsid w:val="00253532"/>
    <w:rsid w:val="002540D3"/>
    <w:rsid w:val="00254B2A"/>
    <w:rsid w:val="002556DB"/>
    <w:rsid w:val="00256D4F"/>
    <w:rsid w:val="00260EE8"/>
    <w:rsid w:val="00260F28"/>
    <w:rsid w:val="0026131D"/>
    <w:rsid w:val="00263542"/>
    <w:rsid w:val="0026503F"/>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9F1"/>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4F"/>
    <w:rsid w:val="00352686"/>
    <w:rsid w:val="003534AD"/>
    <w:rsid w:val="00357136"/>
    <w:rsid w:val="003576EB"/>
    <w:rsid w:val="00357CF1"/>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3485"/>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0DE7"/>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78"/>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6392"/>
    <w:rsid w:val="004C6E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53CA"/>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6B68"/>
    <w:rsid w:val="0051725F"/>
    <w:rsid w:val="005172E2"/>
    <w:rsid w:val="00520095"/>
    <w:rsid w:val="005203DC"/>
    <w:rsid w:val="00520645"/>
    <w:rsid w:val="0052168D"/>
    <w:rsid w:val="0052396A"/>
    <w:rsid w:val="0052782C"/>
    <w:rsid w:val="00527A41"/>
    <w:rsid w:val="00530E46"/>
    <w:rsid w:val="005324EF"/>
    <w:rsid w:val="0053286B"/>
    <w:rsid w:val="00536369"/>
    <w:rsid w:val="005400FF"/>
    <w:rsid w:val="00540E99"/>
    <w:rsid w:val="00541130"/>
    <w:rsid w:val="005435FF"/>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5E5"/>
    <w:rsid w:val="005857A8"/>
    <w:rsid w:val="0058713B"/>
    <w:rsid w:val="005876D2"/>
    <w:rsid w:val="0059056C"/>
    <w:rsid w:val="0059130B"/>
    <w:rsid w:val="00592F55"/>
    <w:rsid w:val="005955F5"/>
    <w:rsid w:val="00596689"/>
    <w:rsid w:val="005A16FB"/>
    <w:rsid w:val="005A1A68"/>
    <w:rsid w:val="005A2A5A"/>
    <w:rsid w:val="005A3076"/>
    <w:rsid w:val="005A39FC"/>
    <w:rsid w:val="005A3B66"/>
    <w:rsid w:val="005A42E3"/>
    <w:rsid w:val="005A51EF"/>
    <w:rsid w:val="005A5F04"/>
    <w:rsid w:val="005A6DC2"/>
    <w:rsid w:val="005B0870"/>
    <w:rsid w:val="005B1762"/>
    <w:rsid w:val="005B2424"/>
    <w:rsid w:val="005B4B88"/>
    <w:rsid w:val="005B5605"/>
    <w:rsid w:val="005B5D60"/>
    <w:rsid w:val="005B5E31"/>
    <w:rsid w:val="005B64AE"/>
    <w:rsid w:val="005B6E3D"/>
    <w:rsid w:val="005B7298"/>
    <w:rsid w:val="005C1BFC"/>
    <w:rsid w:val="005C3647"/>
    <w:rsid w:val="005C4970"/>
    <w:rsid w:val="005C7B55"/>
    <w:rsid w:val="005D0175"/>
    <w:rsid w:val="005D1CC4"/>
    <w:rsid w:val="005D2D62"/>
    <w:rsid w:val="005D5A78"/>
    <w:rsid w:val="005D5DB0"/>
    <w:rsid w:val="005E0B43"/>
    <w:rsid w:val="005E4742"/>
    <w:rsid w:val="005E6829"/>
    <w:rsid w:val="005F10D4"/>
    <w:rsid w:val="005F26E8"/>
    <w:rsid w:val="005F275A"/>
    <w:rsid w:val="005F2E08"/>
    <w:rsid w:val="005F765E"/>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7F4"/>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7635"/>
    <w:rsid w:val="006618E3"/>
    <w:rsid w:val="00661D06"/>
    <w:rsid w:val="006638B4"/>
    <w:rsid w:val="0066400D"/>
    <w:rsid w:val="006644C4"/>
    <w:rsid w:val="0066665B"/>
    <w:rsid w:val="00670EE3"/>
    <w:rsid w:val="0067331F"/>
    <w:rsid w:val="006742E8"/>
    <w:rsid w:val="0067482E"/>
    <w:rsid w:val="00675260"/>
    <w:rsid w:val="00676F86"/>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0BE5"/>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5063"/>
    <w:rsid w:val="0078667E"/>
    <w:rsid w:val="007919DC"/>
    <w:rsid w:val="00791B72"/>
    <w:rsid w:val="00791C7F"/>
    <w:rsid w:val="0079511C"/>
    <w:rsid w:val="00796888"/>
    <w:rsid w:val="00796CAA"/>
    <w:rsid w:val="007A1326"/>
    <w:rsid w:val="007A2B7B"/>
    <w:rsid w:val="007A3356"/>
    <w:rsid w:val="007A36F3"/>
    <w:rsid w:val="007A4CEF"/>
    <w:rsid w:val="007A55A8"/>
    <w:rsid w:val="007B24C4"/>
    <w:rsid w:val="007B50E4"/>
    <w:rsid w:val="007B5236"/>
    <w:rsid w:val="007B6B2C"/>
    <w:rsid w:val="007B6B2F"/>
    <w:rsid w:val="007C057B"/>
    <w:rsid w:val="007C1661"/>
    <w:rsid w:val="007C1A9E"/>
    <w:rsid w:val="007C6E38"/>
    <w:rsid w:val="007D212E"/>
    <w:rsid w:val="007D3B29"/>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07D6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CD8"/>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14B9"/>
    <w:rsid w:val="00891FA6"/>
    <w:rsid w:val="0089256F"/>
    <w:rsid w:val="00893CDB"/>
    <w:rsid w:val="00893D12"/>
    <w:rsid w:val="0089468F"/>
    <w:rsid w:val="00895105"/>
    <w:rsid w:val="00895316"/>
    <w:rsid w:val="00895861"/>
    <w:rsid w:val="00896EE3"/>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358"/>
    <w:rsid w:val="008C4CAB"/>
    <w:rsid w:val="008C6461"/>
    <w:rsid w:val="008C6BA4"/>
    <w:rsid w:val="008C6F82"/>
    <w:rsid w:val="008C7CBC"/>
    <w:rsid w:val="008D0067"/>
    <w:rsid w:val="008D125E"/>
    <w:rsid w:val="008D5308"/>
    <w:rsid w:val="008D55BF"/>
    <w:rsid w:val="008D61E0"/>
    <w:rsid w:val="008D6722"/>
    <w:rsid w:val="008D6B68"/>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7D2"/>
    <w:rsid w:val="009438A7"/>
    <w:rsid w:val="009458AF"/>
    <w:rsid w:val="00946555"/>
    <w:rsid w:val="009520A1"/>
    <w:rsid w:val="009522E2"/>
    <w:rsid w:val="0095259D"/>
    <w:rsid w:val="009528C1"/>
    <w:rsid w:val="009532C7"/>
    <w:rsid w:val="00953891"/>
    <w:rsid w:val="00953E82"/>
    <w:rsid w:val="00955289"/>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81475"/>
    <w:rsid w:val="00981668"/>
    <w:rsid w:val="00984331"/>
    <w:rsid w:val="00984C07"/>
    <w:rsid w:val="00985F69"/>
    <w:rsid w:val="009861DB"/>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E8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772"/>
    <w:rsid w:val="00A00D40"/>
    <w:rsid w:val="00A04A93"/>
    <w:rsid w:val="00A057B9"/>
    <w:rsid w:val="00A07569"/>
    <w:rsid w:val="00A07749"/>
    <w:rsid w:val="00A078FB"/>
    <w:rsid w:val="00A10CE1"/>
    <w:rsid w:val="00A10CED"/>
    <w:rsid w:val="00A128C6"/>
    <w:rsid w:val="00A12DE0"/>
    <w:rsid w:val="00A143CE"/>
    <w:rsid w:val="00A16D9B"/>
    <w:rsid w:val="00A2017E"/>
    <w:rsid w:val="00A21A49"/>
    <w:rsid w:val="00A231E9"/>
    <w:rsid w:val="00A307AE"/>
    <w:rsid w:val="00A313AD"/>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3C62"/>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0E50"/>
    <w:rsid w:val="00AB1629"/>
    <w:rsid w:val="00AB1983"/>
    <w:rsid w:val="00AB23C3"/>
    <w:rsid w:val="00AB24DB"/>
    <w:rsid w:val="00AB35D0"/>
    <w:rsid w:val="00AB3C60"/>
    <w:rsid w:val="00AB77E7"/>
    <w:rsid w:val="00AC1DCF"/>
    <w:rsid w:val="00AC23B1"/>
    <w:rsid w:val="00AC260E"/>
    <w:rsid w:val="00AC2AF9"/>
    <w:rsid w:val="00AC2F71"/>
    <w:rsid w:val="00AC47A6"/>
    <w:rsid w:val="00AC60C5"/>
    <w:rsid w:val="00AC78ED"/>
    <w:rsid w:val="00AD02D3"/>
    <w:rsid w:val="00AD3675"/>
    <w:rsid w:val="00AD49DD"/>
    <w:rsid w:val="00AD56A9"/>
    <w:rsid w:val="00AD69C4"/>
    <w:rsid w:val="00AD6F0C"/>
    <w:rsid w:val="00AE1C5F"/>
    <w:rsid w:val="00AE23DD"/>
    <w:rsid w:val="00AE3899"/>
    <w:rsid w:val="00AE6CD2"/>
    <w:rsid w:val="00AE776A"/>
    <w:rsid w:val="00AF1F68"/>
    <w:rsid w:val="00AF27B7"/>
    <w:rsid w:val="00AF2BB2"/>
    <w:rsid w:val="00AF3C5D"/>
    <w:rsid w:val="00AF4D0B"/>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6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187B"/>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5959"/>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C8D"/>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31BC"/>
    <w:rsid w:val="00C44A8D"/>
    <w:rsid w:val="00C44CF8"/>
    <w:rsid w:val="00C45B91"/>
    <w:rsid w:val="00C460A1"/>
    <w:rsid w:val="00C4789C"/>
    <w:rsid w:val="00C52C02"/>
    <w:rsid w:val="00C52DCB"/>
    <w:rsid w:val="00C57EE8"/>
    <w:rsid w:val="00C61072"/>
    <w:rsid w:val="00C6243C"/>
    <w:rsid w:val="00C62F54"/>
    <w:rsid w:val="00C63AEA"/>
    <w:rsid w:val="00C66BC7"/>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12E3"/>
    <w:rsid w:val="00CB2F98"/>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1F0C"/>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3D71"/>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3A8"/>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07E"/>
    <w:rsid w:val="00E831A3"/>
    <w:rsid w:val="00E862B5"/>
    <w:rsid w:val="00E86733"/>
    <w:rsid w:val="00E86927"/>
    <w:rsid w:val="00E8700D"/>
    <w:rsid w:val="00E87094"/>
    <w:rsid w:val="00E87C2F"/>
    <w:rsid w:val="00E9108A"/>
    <w:rsid w:val="00E9117E"/>
    <w:rsid w:val="00E94803"/>
    <w:rsid w:val="00E94B69"/>
    <w:rsid w:val="00E9588E"/>
    <w:rsid w:val="00E96813"/>
    <w:rsid w:val="00EA17B9"/>
    <w:rsid w:val="00EA279E"/>
    <w:rsid w:val="00EA2BA6"/>
    <w:rsid w:val="00EA33B1"/>
    <w:rsid w:val="00EA7107"/>
    <w:rsid w:val="00EA74F2"/>
    <w:rsid w:val="00EA7552"/>
    <w:rsid w:val="00EA7F5C"/>
    <w:rsid w:val="00EB193D"/>
    <w:rsid w:val="00EB2A71"/>
    <w:rsid w:val="00EB32CF"/>
    <w:rsid w:val="00EB3638"/>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5D63"/>
    <w:rsid w:val="00EF60A5"/>
    <w:rsid w:val="00EF60E5"/>
    <w:rsid w:val="00EF6A0C"/>
    <w:rsid w:val="00EF6E7F"/>
    <w:rsid w:val="00F01D8F"/>
    <w:rsid w:val="00F01D93"/>
    <w:rsid w:val="00F0316E"/>
    <w:rsid w:val="00F05A4D"/>
    <w:rsid w:val="00F06BB9"/>
    <w:rsid w:val="00F071CD"/>
    <w:rsid w:val="00F121C4"/>
    <w:rsid w:val="00F16BD9"/>
    <w:rsid w:val="00F17235"/>
    <w:rsid w:val="00F17EF9"/>
    <w:rsid w:val="00F20B40"/>
    <w:rsid w:val="00F2269A"/>
    <w:rsid w:val="00F22775"/>
    <w:rsid w:val="00F228A5"/>
    <w:rsid w:val="00F246D4"/>
    <w:rsid w:val="00F269DC"/>
    <w:rsid w:val="00F27967"/>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3FDB"/>
    <w:rsid w:val="00F642AF"/>
    <w:rsid w:val="00F6494C"/>
    <w:rsid w:val="00F650B4"/>
    <w:rsid w:val="00F65901"/>
    <w:rsid w:val="00F66B95"/>
    <w:rsid w:val="00F706AA"/>
    <w:rsid w:val="00F70B3E"/>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0FF7979"/>
    <w:rsid w:val="16AF1F80"/>
    <w:rsid w:val="1F8D9332"/>
    <w:rsid w:val="4525DF94"/>
    <w:rsid w:val="488343A5"/>
    <w:rsid w:val="4B6290CB"/>
    <w:rsid w:val="4CD20B92"/>
    <w:rsid w:val="5925F5FD"/>
    <w:rsid w:val="5AE43CC4"/>
    <w:rsid w:val="5B3BC082"/>
    <w:rsid w:val="5C2CCC94"/>
    <w:rsid w:val="756A41F0"/>
    <w:rsid w:val="7757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997E4F"/>
  <w14:defaultImageDpi w14:val="32767"/>
  <w15:chartTrackingRefBased/>
  <w15:docId w15:val="{6B44E782-08CD-4DCC-BBA9-1B13E609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E87C2F"/>
    <w:pPr>
      <w:spacing w:after="120"/>
    </w:pPr>
    <w:rPr>
      <w:rFonts w:ascii="Arial" w:hAnsi="Arial"/>
      <w:lang w:val="en-AU"/>
    </w:rPr>
  </w:style>
  <w:style w:type="paragraph" w:styleId="Heading1">
    <w:name w:val="heading 1"/>
    <w:aliases w:val="ŠHeading 1"/>
    <w:basedOn w:val="Normal"/>
    <w:next w:val="Normal"/>
    <w:link w:val="Heading1Char"/>
    <w:uiPriority w:val="6"/>
    <w:qFormat/>
    <w:rsid w:val="00250E49"/>
    <w:pPr>
      <w:spacing w:before="120"/>
      <w:outlineLvl w:val="0"/>
    </w:pPr>
    <w:rPr>
      <w:rFonts w:ascii="Arial Rounded MT Bold" w:eastAsiaTheme="majorEastAsia" w:hAnsi="Arial Rounded MT Bold" w:cstheme="majorBidi"/>
      <w:color w:val="1C438B"/>
      <w:sz w:val="48"/>
      <w:szCs w:val="32"/>
    </w:rPr>
  </w:style>
  <w:style w:type="paragraph" w:styleId="Heading2">
    <w:name w:val="heading 2"/>
    <w:aliases w:val="ŠHeading 2"/>
    <w:basedOn w:val="Normal"/>
    <w:next w:val="Normal"/>
    <w:link w:val="Heading2Char"/>
    <w:uiPriority w:val="7"/>
    <w:qFormat/>
    <w:rsid w:val="00250E49"/>
    <w:pPr>
      <w:keepNext/>
      <w:keepLines/>
      <w:numPr>
        <w:ilvl w:val="1"/>
        <w:numId w:val="30"/>
      </w:numPr>
      <w:tabs>
        <w:tab w:val="left" w:pos="567"/>
        <w:tab w:val="left" w:pos="1134"/>
        <w:tab w:val="left" w:pos="1701"/>
        <w:tab w:val="left" w:pos="2268"/>
        <w:tab w:val="left" w:pos="2835"/>
        <w:tab w:val="left" w:pos="3402"/>
      </w:tabs>
      <w:ind w:left="0"/>
      <w:outlineLvl w:val="1"/>
    </w:pPr>
    <w:rPr>
      <w:rFonts w:ascii="Arial Rounded MT Bold" w:eastAsia="SimSun" w:hAnsi="Arial Rounded MT Bold" w:cs="Arial"/>
      <w:color w:val="1C438B"/>
      <w:sz w:val="2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250E49"/>
    <w:rPr>
      <w:rFonts w:ascii="Arial Rounded MT Bold" w:eastAsiaTheme="majorEastAsia" w:hAnsi="Arial Rounded MT Bold" w:cstheme="majorBidi"/>
      <w:color w:val="1C438B"/>
      <w:sz w:val="48"/>
      <w:szCs w:val="32"/>
      <w:lang w:val="en-AU"/>
    </w:rPr>
  </w:style>
  <w:style w:type="character" w:customStyle="1" w:styleId="Heading2Char">
    <w:name w:val="Heading 2 Char"/>
    <w:aliases w:val="ŠHeading 2 Char"/>
    <w:basedOn w:val="DefaultParagraphFont"/>
    <w:link w:val="Heading2"/>
    <w:uiPriority w:val="7"/>
    <w:rsid w:val="00250E49"/>
    <w:rPr>
      <w:rFonts w:ascii="Arial Rounded MT Bold" w:eastAsia="SimSun" w:hAnsi="Arial Rounded MT Bold" w:cs="Arial"/>
      <w:color w:val="1C438B"/>
      <w:sz w:val="2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796CAA"/>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val="0"/>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link w:val="FeatureBoxChar"/>
    <w:qFormat/>
    <w:rsid w:val="00420DE7"/>
    <w:pPr>
      <w:pBdr>
        <w:top w:val="single" w:sz="24" w:space="10" w:color="1C438B"/>
        <w:left w:val="single" w:sz="24" w:space="10" w:color="1C438B"/>
        <w:bottom w:val="single" w:sz="24" w:space="10" w:color="1C438B"/>
        <w:right w:val="single" w:sz="24" w:space="10" w:color="1C438B"/>
      </w:pBdr>
      <w:spacing w:before="120"/>
    </w:pPr>
    <w:rPr>
      <w:rFonts w:cs="Arial"/>
      <w:lang w:eastAsia="zh-CN"/>
    </w:rPr>
  </w:style>
  <w:style w:type="paragraph" w:customStyle="1" w:styleId="FeatureBox2">
    <w:name w:val="Feature Box 2"/>
    <w:aliases w:val="ŠFeature Box 2"/>
    <w:basedOn w:val="FeatureBox"/>
    <w:next w:val="Normal"/>
    <w:qFormat/>
    <w:rsid w:val="001B160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F071CD"/>
    <w:rPr>
      <w:color w:val="808080"/>
    </w:rPr>
  </w:style>
  <w:style w:type="paragraph" w:customStyle="1" w:styleId="Copyright">
    <w:name w:val="Copyright"/>
    <w:aliases w:val="ŠCopyright"/>
    <w:basedOn w:val="FeatureBox"/>
    <w:next w:val="Normal"/>
    <w:link w:val="CopyrightChar"/>
    <w:qFormat/>
    <w:rsid w:val="002407FC"/>
    <w:rPr>
      <w:sz w:val="20"/>
    </w:rPr>
  </w:style>
  <w:style w:type="character" w:customStyle="1" w:styleId="FeatureBoxChar">
    <w:name w:val="Feature Box Char"/>
    <w:aliases w:val="ŠFeature Box Char"/>
    <w:basedOn w:val="DefaultParagraphFont"/>
    <w:link w:val="FeatureBox"/>
    <w:rsid w:val="002407FC"/>
    <w:rPr>
      <w:rFonts w:ascii="Arial" w:hAnsi="Arial" w:cs="Arial"/>
      <w:lang w:val="en-AU" w:eastAsia="zh-CN"/>
    </w:rPr>
  </w:style>
  <w:style w:type="character" w:customStyle="1" w:styleId="CopyrightChar">
    <w:name w:val="Copyright Char"/>
    <w:aliases w:val="ŠCopyright Char"/>
    <w:basedOn w:val="FeatureBoxChar"/>
    <w:link w:val="Copyright"/>
    <w:rsid w:val="002407FC"/>
    <w:rPr>
      <w:rFonts w:ascii="Arial" w:hAnsi="Arial" w:cs="Arial"/>
      <w:sz w:val="20"/>
      <w:lang w:val="en-AU" w:eastAsia="zh-CN"/>
    </w:rPr>
  </w:style>
  <w:style w:type="paragraph" w:styleId="BalloonText">
    <w:name w:val="Balloon Text"/>
    <w:basedOn w:val="Normal"/>
    <w:link w:val="BalloonTextChar"/>
    <w:uiPriority w:val="99"/>
    <w:semiHidden/>
    <w:unhideWhenUsed/>
    <w:rsid w:val="00A12DE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DE0"/>
    <w:rPr>
      <w:rFonts w:ascii="Segoe UI" w:hAnsi="Segoe UI" w:cs="Segoe UI"/>
      <w:sz w:val="18"/>
      <w:szCs w:val="18"/>
      <w:lang w:val="en-AU"/>
    </w:rPr>
  </w:style>
  <w:style w:type="paragraph" w:customStyle="1" w:styleId="Default">
    <w:name w:val="Default"/>
    <w:rsid w:val="00A12DE0"/>
    <w:pPr>
      <w:autoSpaceDE w:val="0"/>
      <w:autoSpaceDN w:val="0"/>
      <w:adjustRightInd w:val="0"/>
      <w:spacing w:before="0" w:line="240" w:lineRule="auto"/>
    </w:pPr>
    <w:rPr>
      <w:rFonts w:ascii="Arial" w:hAnsi="Arial" w:cs="Arial"/>
      <w:color w:val="000000"/>
      <w:lang w:val="en-AU"/>
    </w:rPr>
  </w:style>
  <w:style w:type="table" w:customStyle="1" w:styleId="TableGrid10">
    <w:name w:val="Table Grid1"/>
    <w:basedOn w:val="TableNormal"/>
    <w:next w:val="TableGrid"/>
    <w:uiPriority w:val="39"/>
    <w:rsid w:val="0026503F"/>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30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205639">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standards.nsw.edu.au/wps/portal/nesa/mini-footer/copyrigh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iview.abc.net.au/show/against-all-odds-inside-statistics/series/1/video/ZW1263A028S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56E90-41B8-43AB-9298-7FF32409B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0A8AB-5CED-4523-BA28-7751A520A69C}">
  <ds:schemaRefs>
    <ds:schemaRef ds:uri="http://schemas.microsoft.com/sharepoint/v3/contenttype/forms"/>
  </ds:schemaRefs>
</ds:datastoreItem>
</file>

<file path=customXml/itemProps3.xml><?xml version="1.0" encoding="utf-8"?>
<ds:datastoreItem xmlns:ds="http://schemas.openxmlformats.org/officeDocument/2006/customXml" ds:itemID="{B08DCD0B-FE68-4573-8748-262963D9A8BC}">
  <ds:schemaRefs>
    <ds:schemaRef ds:uri="http://schemas.microsoft.com/office/2006/metadata/properties"/>
    <ds:schemaRef ds:uri="946db038-1dcd-4d2d-acc3-074dba562d2c"/>
    <ds:schemaRef ds:uri="http://schemas.microsoft.com/office/infopath/2007/PartnerControls"/>
    <ds:schemaRef ds:uri="http://schemas.microsoft.com/office/2006/documentManagement/types"/>
    <ds:schemaRef ds:uri="a3893891-f0a0-41d0-9ee8-6d125d8ab872"/>
    <ds:schemaRef ds:uri="http://schemas.openxmlformats.org/package/2006/metadata/core-properties"/>
    <ds:schemaRef ds:uri="http://purl.org/dc/term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TV – Two-way tables</dc:title>
  <dc:subject/>
  <dc:creator>NSW Department of Education</dc:creator>
  <cp:keywords>Stage 4</cp:keywords>
  <dc:description/>
  <cp:revision>2</cp:revision>
  <dcterms:created xsi:type="dcterms:W3CDTF">2021-07-08T00:28:00Z</dcterms:created>
  <dcterms:modified xsi:type="dcterms:W3CDTF">2021-07-08T00:28:00Z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