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F4" w:rsidRDefault="00661C88">
      <w:pPr>
        <w:pStyle w:val="Title"/>
      </w:pPr>
      <w:bookmarkStart w:id="0" w:name="_heading=h.30j0zll" w:colFirst="0" w:colLast="0"/>
      <w:bookmarkStart w:id="1" w:name="_GoBack"/>
      <w:bookmarkEnd w:id="0"/>
      <w:bookmarkEnd w:id="1"/>
      <w:r>
        <w:t>Sample virtual program: Stage 5 Agriculture, general content, work health and safety</w:t>
      </w:r>
    </w:p>
    <w:tbl>
      <w:tblPr>
        <w:tblStyle w:val="a1"/>
        <w:tblW w:w="138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72"/>
        <w:gridCol w:w="10526"/>
      </w:tblGrid>
      <w:tr w:rsidR="008379F4" w:rsidTr="008379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rsidR="008379F4" w:rsidRDefault="00661C88">
            <w:r>
              <w:t>Guiding question</w:t>
            </w:r>
          </w:p>
        </w:tc>
        <w:tc>
          <w:tcPr>
            <w:tcW w:w="10526" w:type="dxa"/>
          </w:tcPr>
          <w:p w:rsidR="008379F4" w:rsidRDefault="008379F4">
            <w:pPr>
              <w:cnfStyle w:val="100000000000" w:firstRow="1" w:lastRow="0" w:firstColumn="0" w:lastColumn="0" w:oddVBand="0" w:evenVBand="0" w:oddHBand="0" w:evenHBand="0" w:firstRowFirstColumn="0" w:firstRowLastColumn="0" w:lastRowFirstColumn="0" w:lastRowLastColumn="0"/>
            </w:pPr>
          </w:p>
        </w:tc>
      </w:tr>
      <w:tr w:rsidR="008379F4" w:rsidTr="0083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8379F4" w:rsidRDefault="00661C88">
            <w:r>
              <w:t>What are your students going to learn? (Objectives)</w:t>
            </w:r>
          </w:p>
        </w:tc>
        <w:tc>
          <w:tcPr>
            <w:tcW w:w="10526" w:type="dxa"/>
            <w:vAlign w:val="top"/>
          </w:tcPr>
          <w:p w:rsidR="008379F4" w:rsidRDefault="00661C88">
            <w:pPr>
              <w:cnfStyle w:val="000000100000" w:firstRow="0" w:lastRow="0" w:firstColumn="0" w:lastColumn="0" w:oddVBand="0" w:evenVBand="0" w:oddHBand="1" w:evenHBand="0" w:firstRowFirstColumn="0" w:firstRowLastColumn="0" w:lastRowFirstColumn="0" w:lastRowLastColumn="0"/>
            </w:pPr>
            <w:r>
              <w:t>A student:</w:t>
            </w:r>
          </w:p>
          <w:p w:rsidR="008379F4" w:rsidRDefault="00661C88">
            <w:pPr>
              <w:cnfStyle w:val="000000100000" w:firstRow="0" w:lastRow="0" w:firstColumn="0" w:lastColumn="0" w:oddVBand="0" w:evenVBand="0" w:oddHBand="1" w:evenHBand="0" w:firstRowFirstColumn="0" w:firstRowLastColumn="0" w:lastRowFirstColumn="0" w:lastRowLastColumn="0"/>
            </w:pPr>
            <w:r>
              <w:rPr>
                <w:b/>
              </w:rPr>
              <w:t xml:space="preserve">AG5-3 </w:t>
            </w:r>
            <w:r>
              <w:t>explains the interactions within and between the agricultural sector and Australia’s economy, culture and society</w:t>
            </w:r>
          </w:p>
          <w:p w:rsidR="008379F4" w:rsidRDefault="00661C88">
            <w:pPr>
              <w:cnfStyle w:val="000000100000" w:firstRow="0" w:lastRow="0" w:firstColumn="0" w:lastColumn="0" w:oddVBand="0" w:evenVBand="0" w:oddHBand="1" w:evenHBand="0" w:firstRowFirstColumn="0" w:firstRowLastColumn="0" w:lastRowFirstColumn="0" w:lastRowLastColumn="0"/>
            </w:pPr>
            <w:r>
              <w:rPr>
                <w:b/>
              </w:rPr>
              <w:t>AG5-4</w:t>
            </w:r>
            <w:r>
              <w:t xml:space="preserve"> investigates and implements responsible production systems for plant and animal enterprises</w:t>
            </w:r>
          </w:p>
          <w:p w:rsidR="008379F4" w:rsidRDefault="00661C88">
            <w:pPr>
              <w:cnfStyle w:val="000000100000" w:firstRow="0" w:lastRow="0" w:firstColumn="0" w:lastColumn="0" w:oddVBand="0" w:evenVBand="0" w:oddHBand="1" w:evenHBand="0" w:firstRowFirstColumn="0" w:firstRowLastColumn="0" w:lastRowFirstColumn="0" w:lastRowLastColumn="0"/>
            </w:pPr>
            <w:r>
              <w:rPr>
                <w:b/>
              </w:rPr>
              <w:t xml:space="preserve">AG5-13 </w:t>
            </w:r>
            <w:r>
              <w:t>applies Work Health and Safety requirements when using, maintaining and storing chemicals, tools and agricultural machinery</w:t>
            </w:r>
          </w:p>
        </w:tc>
      </w:tr>
      <w:tr w:rsidR="008379F4" w:rsidTr="008379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8379F4" w:rsidRDefault="00661C88">
            <w:r>
              <w:t>How are they going to learn it? (Resources and Strategies)</w:t>
            </w:r>
          </w:p>
        </w:tc>
        <w:tc>
          <w:tcPr>
            <w:tcW w:w="10526" w:type="dxa"/>
            <w:vAlign w:val="top"/>
          </w:tcPr>
          <w:p w:rsidR="008379F4" w:rsidRDefault="00661C88">
            <w:pPr>
              <w:cnfStyle w:val="000000010000" w:firstRow="0" w:lastRow="0" w:firstColumn="0" w:lastColumn="0" w:oddVBand="0" w:evenVBand="0" w:oddHBand="0" w:evenHBand="1" w:firstRowFirstColumn="0" w:firstRowLastColumn="0" w:lastRowFirstColumn="0" w:lastRowLastColumn="0"/>
              <w:rPr>
                <w:b/>
              </w:rPr>
            </w:pPr>
            <w:r>
              <w:rPr>
                <w:b/>
              </w:rPr>
              <w:t>Resources</w:t>
            </w:r>
          </w:p>
          <w:p w:rsidR="008379F4" w:rsidRDefault="00661C88">
            <w:pPr>
              <w:cnfStyle w:val="000000010000" w:firstRow="0" w:lastRow="0" w:firstColumn="0" w:lastColumn="0" w:oddVBand="0" w:evenVBand="0" w:oddHBand="0" w:evenHBand="1" w:firstRowFirstColumn="0" w:firstRowLastColumn="0" w:lastRowFirstColumn="0" w:lastRowLastColumn="0"/>
            </w:pPr>
            <w:r>
              <w:t xml:space="preserve">Farm safety risks and hazards </w:t>
            </w:r>
            <w:hyperlink r:id="rId7">
              <w:r>
                <w:rPr>
                  <w:color w:val="2F5496"/>
                  <w:u w:val="single"/>
                </w:rPr>
                <w:t>https://www.betterhealth.vic.gov.au/health/HealthyLiving/farm-safety-risks-and-hazards</w:t>
              </w:r>
            </w:hyperlink>
            <w:r>
              <w:t xml:space="preserve"> </w:t>
            </w:r>
          </w:p>
          <w:p w:rsidR="008379F4" w:rsidRDefault="00661C88">
            <w:pPr>
              <w:cnfStyle w:val="000000010000" w:firstRow="0" w:lastRow="0" w:firstColumn="0" w:lastColumn="0" w:oddVBand="0" w:evenVBand="0" w:oddHBand="0" w:evenHBand="1" w:firstRowFirstColumn="0" w:firstRowLastColumn="0" w:lastRowFirstColumn="0" w:lastRowLastColumn="0"/>
            </w:pPr>
            <w:r>
              <w:t xml:space="preserve">Shifting the safety culture on farm </w:t>
            </w:r>
            <w:hyperlink r:id="rId8">
              <w:r>
                <w:rPr>
                  <w:color w:val="2F5496"/>
                  <w:u w:val="single"/>
                </w:rPr>
                <w:t>https://www.farmsafe.org.au/A-Guide-to-Improving-Safety</w:t>
              </w:r>
            </w:hyperlink>
            <w:r>
              <w:t xml:space="preserve"> </w:t>
            </w:r>
          </w:p>
          <w:p w:rsidR="008379F4" w:rsidRDefault="00661C88">
            <w:pPr>
              <w:cnfStyle w:val="000000010000" w:firstRow="0" w:lastRow="0" w:firstColumn="0" w:lastColumn="0" w:oddVBand="0" w:evenVBand="0" w:oddHBand="0" w:evenHBand="1" w:firstRowFirstColumn="0" w:firstRowLastColumn="0" w:lastRowFirstColumn="0" w:lastRowLastColumn="0"/>
            </w:pPr>
            <w:r>
              <w:t xml:space="preserve">Farm safety series: assessing stockyard risks </w:t>
            </w:r>
            <w:hyperlink r:id="rId9">
              <w:r>
                <w:rPr>
                  <w:color w:val="2F5496"/>
                  <w:u w:val="single"/>
                </w:rPr>
                <w:t>https://www.youtube.com/watch?v=mk_sjfJSr-w&amp;t=2s</w:t>
              </w:r>
            </w:hyperlink>
            <w:r>
              <w:t xml:space="preserve"> </w:t>
            </w:r>
          </w:p>
          <w:p w:rsidR="008379F4" w:rsidRDefault="00661C88">
            <w:pPr>
              <w:cnfStyle w:val="000000010000" w:firstRow="0" w:lastRow="0" w:firstColumn="0" w:lastColumn="0" w:oddVBand="0" w:evenVBand="0" w:oddHBand="0" w:evenHBand="1" w:firstRowFirstColumn="0" w:firstRowLastColumn="0" w:lastRowFirstColumn="0" w:lastRowLastColumn="0"/>
              <w:rPr>
                <w:b/>
              </w:rPr>
            </w:pPr>
            <w:r>
              <w:rPr>
                <w:b/>
              </w:rPr>
              <w:t>Strategies</w:t>
            </w:r>
          </w:p>
          <w:p w:rsidR="008379F4" w:rsidRDefault="00661C88">
            <w:pPr>
              <w:cnfStyle w:val="000000010000" w:firstRow="0" w:lastRow="0" w:firstColumn="0" w:lastColumn="0" w:oddVBand="0" w:evenVBand="0" w:oddHBand="0" w:evenHBand="1" w:firstRowFirstColumn="0" w:firstRowLastColumn="0" w:lastRowFirstColumn="0" w:lastRowLastColumn="0"/>
            </w:pPr>
            <w:r>
              <w:t xml:space="preserve">This unit can be completed independently by students with minimal to no synchronous involvement by the classroom teacher. However, there are opportunities for discussion about safety in every lesson. </w:t>
            </w:r>
          </w:p>
          <w:p w:rsidR="008379F4" w:rsidRDefault="00661C88">
            <w:pPr>
              <w:cnfStyle w:val="000000010000" w:firstRow="0" w:lastRow="0" w:firstColumn="0" w:lastColumn="0" w:oddVBand="0" w:evenVBand="0" w:oddHBand="0" w:evenHBand="1" w:firstRowFirstColumn="0" w:firstRowLastColumn="0" w:lastRowFirstColumn="0" w:lastRowLastColumn="0"/>
            </w:pPr>
            <w:r>
              <w:t xml:space="preserve">Students will research farm safety statistics and information to get a better understanding of the hazards on Australian farms. Using this information they will reflect on their practices on the school farm to apply this knowledge in assessing processes and creating safety awareness for other students. </w:t>
            </w:r>
          </w:p>
        </w:tc>
      </w:tr>
      <w:tr w:rsidR="008379F4" w:rsidTr="0083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8379F4" w:rsidRDefault="00661C88">
            <w:r>
              <w:t>Target date for completion</w:t>
            </w:r>
          </w:p>
        </w:tc>
        <w:tc>
          <w:tcPr>
            <w:tcW w:w="10526" w:type="dxa"/>
            <w:vAlign w:val="top"/>
          </w:tcPr>
          <w:p w:rsidR="008379F4" w:rsidRDefault="00661C88">
            <w:pPr>
              <w:cnfStyle w:val="000000100000" w:firstRow="0" w:lastRow="0" w:firstColumn="0" w:lastColumn="0" w:oddVBand="0" w:evenVBand="0" w:oddHBand="1" w:evenHBand="0" w:firstRowFirstColumn="0" w:firstRowLastColumn="0" w:lastRowFirstColumn="0" w:lastRowLastColumn="0"/>
            </w:pPr>
            <w:r>
              <w:t xml:space="preserve">Within 2 weeks (3-4 X 60 minute lessons) </w:t>
            </w:r>
          </w:p>
        </w:tc>
      </w:tr>
      <w:tr w:rsidR="008379F4" w:rsidTr="008379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8379F4" w:rsidRDefault="00661C88">
            <w:r>
              <w:t>How are you going to know that they learned it? (Success criteria)</w:t>
            </w:r>
          </w:p>
        </w:tc>
        <w:tc>
          <w:tcPr>
            <w:tcW w:w="10526" w:type="dxa"/>
            <w:vAlign w:val="top"/>
          </w:tcPr>
          <w:p w:rsidR="008379F4" w:rsidRDefault="00661C88">
            <w:pPr>
              <w:cnfStyle w:val="000000010000" w:firstRow="0" w:lastRow="0" w:firstColumn="0" w:lastColumn="0" w:oddVBand="0" w:evenVBand="0" w:oddHBand="0" w:evenHBand="1" w:firstRowFirstColumn="0" w:firstRowLastColumn="0" w:lastRowFirstColumn="0" w:lastRowLastColumn="0"/>
            </w:pPr>
            <w:r>
              <w:t xml:space="preserve">Lessons  </w:t>
            </w:r>
          </w:p>
          <w:p w:rsidR="008379F4" w:rsidRDefault="00661C88">
            <w:pPr>
              <w:widowControl/>
              <w:numPr>
                <w:ilvl w:val="0"/>
                <w:numId w:val="2"/>
              </w:numPr>
              <w:pBdr>
                <w:top w:val="nil"/>
                <w:left w:val="nil"/>
                <w:bottom w:val="nil"/>
                <w:right w:val="nil"/>
                <w:between w:val="nil"/>
              </w:pBdr>
              <w:spacing w:line="276" w:lineRule="auto"/>
              <w:cnfStyle w:val="000000010000" w:firstRow="0" w:lastRow="0" w:firstColumn="0" w:lastColumn="0" w:oddVBand="0" w:evenVBand="0" w:oddHBand="0" w:evenHBand="1" w:firstRowFirstColumn="0" w:firstRowLastColumn="0" w:lastRowFirstColumn="0" w:lastRowLastColumn="0"/>
            </w:pPr>
            <w:r>
              <w:t xml:space="preserve"> Common hazards and causes </w:t>
            </w:r>
          </w:p>
          <w:p w:rsidR="008379F4" w:rsidRDefault="00661C88">
            <w:pPr>
              <w:widowControl/>
              <w:numPr>
                <w:ilvl w:val="0"/>
                <w:numId w:val="2"/>
              </w:numPr>
              <w:pBdr>
                <w:top w:val="nil"/>
                <w:left w:val="nil"/>
                <w:bottom w:val="nil"/>
                <w:right w:val="nil"/>
                <w:between w:val="nil"/>
              </w:pBdr>
              <w:spacing w:line="276" w:lineRule="auto"/>
              <w:cnfStyle w:val="000000010000" w:firstRow="0" w:lastRow="0" w:firstColumn="0" w:lastColumn="0" w:oddVBand="0" w:evenVBand="0" w:oddHBand="0" w:evenHBand="1" w:firstRowFirstColumn="0" w:firstRowLastColumn="0" w:lastRowFirstColumn="0" w:lastRowLastColumn="0"/>
            </w:pPr>
            <w:r>
              <w:t xml:space="preserve">Risk assessment </w:t>
            </w:r>
          </w:p>
          <w:p w:rsidR="008379F4" w:rsidRDefault="00661C88">
            <w:pPr>
              <w:widowControl/>
              <w:numPr>
                <w:ilvl w:val="0"/>
                <w:numId w:val="2"/>
              </w:numPr>
              <w:pBdr>
                <w:top w:val="nil"/>
                <w:left w:val="nil"/>
                <w:bottom w:val="nil"/>
                <w:right w:val="nil"/>
                <w:between w:val="nil"/>
              </w:pBd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lastRenderedPageBreak/>
              <w:t xml:space="preserve">Safety Campaign </w:t>
            </w:r>
          </w:p>
        </w:tc>
      </w:tr>
      <w:tr w:rsidR="008379F4" w:rsidTr="0083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8379F4" w:rsidRDefault="00661C88">
            <w:r>
              <w:lastRenderedPageBreak/>
              <w:t>Collecting evidence of student learning (Verification)</w:t>
            </w:r>
          </w:p>
        </w:tc>
        <w:tc>
          <w:tcPr>
            <w:tcW w:w="10526" w:type="dxa"/>
            <w:vAlign w:val="top"/>
          </w:tcPr>
          <w:p w:rsidR="008379F4" w:rsidRDefault="00661C88">
            <w:pPr>
              <w:cnfStyle w:val="000000100000" w:firstRow="0" w:lastRow="0" w:firstColumn="0" w:lastColumn="0" w:oddVBand="0" w:evenVBand="0" w:oddHBand="1" w:evenHBand="0" w:firstRowFirstColumn="0" w:firstRowLastColumn="0" w:lastRowFirstColumn="0" w:lastRowLastColumn="0"/>
            </w:pPr>
            <w:r>
              <w:t>Using the schools online platform of choice, students will be required to submit the following:</w:t>
            </w:r>
          </w:p>
          <w:p w:rsidR="008379F4" w:rsidRDefault="00661C88">
            <w:pPr>
              <w:widowControl/>
              <w:numPr>
                <w:ilvl w:val="0"/>
                <w:numId w:val="3"/>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 Completed school farm hazards table and statistics information </w:t>
            </w:r>
          </w:p>
          <w:p w:rsidR="008379F4" w:rsidRDefault="00661C88">
            <w:pPr>
              <w:widowControl/>
              <w:numPr>
                <w:ilvl w:val="0"/>
                <w:numId w:val="3"/>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Completed risk assessment with diagram</w:t>
            </w:r>
          </w:p>
          <w:p w:rsidR="008379F4" w:rsidRDefault="00661C88">
            <w:pPr>
              <w:widowControl/>
              <w:numPr>
                <w:ilvl w:val="0"/>
                <w:numId w:val="3"/>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Safety campaign for students </w:t>
            </w:r>
          </w:p>
        </w:tc>
      </w:tr>
      <w:tr w:rsidR="008379F4" w:rsidTr="008379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8379F4" w:rsidRDefault="00661C88">
            <w:r>
              <w:t>Feedback (Evaluation)</w:t>
            </w:r>
          </w:p>
        </w:tc>
        <w:tc>
          <w:tcPr>
            <w:tcW w:w="10526" w:type="dxa"/>
            <w:vAlign w:val="top"/>
          </w:tcPr>
          <w:p w:rsidR="008379F4" w:rsidRDefault="00661C88">
            <w:pPr>
              <w:cnfStyle w:val="000000010000" w:firstRow="0" w:lastRow="0" w:firstColumn="0" w:lastColumn="0" w:oddVBand="0" w:evenVBand="0" w:oddHBand="0" w:evenHBand="1" w:firstRowFirstColumn="0" w:firstRowLastColumn="0" w:lastRowFirstColumn="0" w:lastRowLastColumn="0"/>
            </w:pPr>
            <w:r>
              <w:t xml:space="preserve">Format to be communicated clearly by teacher, whether it is by emailing comments or annotations on documents, upload of media/audio via online platforms or a blended approach. </w:t>
            </w:r>
          </w:p>
        </w:tc>
      </w:tr>
      <w:tr w:rsidR="008379F4" w:rsidTr="0083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rsidR="008379F4" w:rsidRDefault="00661C88">
            <w:r>
              <w:t>Communication</w:t>
            </w:r>
          </w:p>
        </w:tc>
        <w:tc>
          <w:tcPr>
            <w:tcW w:w="10526" w:type="dxa"/>
            <w:vAlign w:val="top"/>
          </w:tcPr>
          <w:p w:rsidR="008379F4" w:rsidRDefault="00661C88">
            <w:pPr>
              <w:cnfStyle w:val="000000100000" w:firstRow="0" w:lastRow="0" w:firstColumn="0" w:lastColumn="0" w:oddVBand="0" w:evenVBand="0" w:oddHBand="1" w:evenHBand="0" w:firstRowFirstColumn="0" w:firstRowLastColumn="0" w:lastRowFirstColumn="0" w:lastRowLastColumn="0"/>
            </w:pPr>
            <w:r>
              <w:t xml:space="preserve">Teachers are able to gauge the progress of the tasks via the schools online platform. Submission dates for each task may be useful as opposed to one final due date. </w:t>
            </w:r>
          </w:p>
          <w:p w:rsidR="008379F4" w:rsidRDefault="00661C88">
            <w:pPr>
              <w:cnfStyle w:val="000000100000" w:firstRow="0" w:lastRow="0" w:firstColumn="0" w:lastColumn="0" w:oddVBand="0" w:evenVBand="0" w:oddHBand="1" w:evenHBand="0" w:firstRowFirstColumn="0" w:firstRowLastColumn="0" w:lastRowFirstColumn="0" w:lastRowLastColumn="0"/>
            </w:pPr>
            <w:r>
              <w:t xml:space="preserve">Students can pose questions/clarifications directly to teacher via email or online platform </w:t>
            </w:r>
          </w:p>
          <w:p w:rsidR="008379F4" w:rsidRDefault="00661C88">
            <w:pPr>
              <w:cnfStyle w:val="000000100000" w:firstRow="0" w:lastRow="0" w:firstColumn="0" w:lastColumn="0" w:oddVBand="0" w:evenVBand="0" w:oddHBand="1" w:evenHBand="0" w:firstRowFirstColumn="0" w:firstRowLastColumn="0" w:lastRowFirstColumn="0" w:lastRowLastColumn="0"/>
            </w:pPr>
            <w:r>
              <w:t xml:space="preserve">Scaffolds for each task may be posted by the teacher to help clarify specific requirements for each activity. </w:t>
            </w:r>
          </w:p>
        </w:tc>
      </w:tr>
    </w:tbl>
    <w:p w:rsidR="008379F4" w:rsidRDefault="00661C88">
      <w:r>
        <w:rPr>
          <w:b/>
        </w:rPr>
        <w:t>Resources</w:t>
      </w:r>
      <w:r>
        <w:t xml:space="preserve">: </w:t>
      </w:r>
    </w:p>
    <w:p w:rsidR="008379F4" w:rsidRDefault="00661C88">
      <w:pPr>
        <w:rPr>
          <w:color w:val="000000"/>
          <w:sz w:val="22"/>
          <w:szCs w:val="22"/>
        </w:rPr>
      </w:pPr>
      <w:r>
        <w:rPr>
          <w:sz w:val="22"/>
          <w:szCs w:val="22"/>
        </w:rPr>
        <w:t xml:space="preserve">Farm safety risks and hazards </w:t>
      </w:r>
      <w:hyperlink r:id="rId10">
        <w:r>
          <w:rPr>
            <w:color w:val="2F5496"/>
            <w:sz w:val="22"/>
            <w:szCs w:val="22"/>
            <w:u w:val="single"/>
          </w:rPr>
          <w:t>https://www.betterhealth.vic.gov.au/health/HealthyLiving/farm-safety-risks-and-hazards</w:t>
        </w:r>
      </w:hyperlink>
      <w:r>
        <w:rPr>
          <w:sz w:val="22"/>
          <w:szCs w:val="22"/>
        </w:rPr>
        <w:t xml:space="preserve"> </w:t>
      </w:r>
    </w:p>
    <w:p w:rsidR="008379F4" w:rsidRDefault="00661C88">
      <w:pPr>
        <w:rPr>
          <w:color w:val="000000"/>
          <w:sz w:val="22"/>
          <w:szCs w:val="22"/>
        </w:rPr>
      </w:pPr>
      <w:r>
        <w:rPr>
          <w:sz w:val="22"/>
          <w:szCs w:val="22"/>
        </w:rPr>
        <w:t xml:space="preserve">Shifting the safety culture on farm </w:t>
      </w:r>
      <w:hyperlink r:id="rId11">
        <w:r>
          <w:rPr>
            <w:color w:val="2F5496"/>
            <w:sz w:val="22"/>
            <w:szCs w:val="22"/>
            <w:u w:val="single"/>
          </w:rPr>
          <w:t>https://www.farmsafe.org.au/A-Guide-to-Improving-Safety</w:t>
        </w:r>
      </w:hyperlink>
      <w:r>
        <w:rPr>
          <w:sz w:val="22"/>
          <w:szCs w:val="22"/>
        </w:rPr>
        <w:t xml:space="preserve"> </w:t>
      </w:r>
    </w:p>
    <w:p w:rsidR="008379F4" w:rsidRDefault="00661C88">
      <w:pPr>
        <w:rPr>
          <w:sz w:val="22"/>
          <w:szCs w:val="22"/>
        </w:rPr>
      </w:pPr>
      <w:r>
        <w:rPr>
          <w:sz w:val="22"/>
          <w:szCs w:val="22"/>
        </w:rPr>
        <w:t xml:space="preserve">Farm safety series: assessing stockyard risks </w:t>
      </w:r>
      <w:hyperlink r:id="rId12">
        <w:r>
          <w:rPr>
            <w:color w:val="2F5496"/>
            <w:sz w:val="22"/>
            <w:szCs w:val="22"/>
            <w:u w:val="single"/>
          </w:rPr>
          <w:t>https://www.youtube.com/watch?v=mk_sjfJSr-w&amp;t=2s</w:t>
        </w:r>
      </w:hyperlink>
      <w:r>
        <w:rPr>
          <w:sz w:val="22"/>
          <w:szCs w:val="22"/>
        </w:rPr>
        <w:t xml:space="preserve"> </w:t>
      </w:r>
    </w:p>
    <w:p w:rsidR="008379F4" w:rsidRDefault="008379F4">
      <w:pPr>
        <w:pBdr>
          <w:top w:val="nil"/>
          <w:left w:val="nil"/>
          <w:bottom w:val="nil"/>
          <w:right w:val="nil"/>
          <w:between w:val="nil"/>
        </w:pBdr>
        <w:spacing w:before="0" w:line="240" w:lineRule="auto"/>
        <w:rPr>
          <w:color w:val="000000"/>
          <w:sz w:val="22"/>
          <w:szCs w:val="22"/>
        </w:rPr>
      </w:pPr>
    </w:p>
    <w:p w:rsidR="00AC7197" w:rsidRDefault="00AC7197">
      <w:pPr>
        <w:rPr>
          <w:rFonts w:eastAsia="SimSun"/>
          <w:b/>
          <w:color w:val="1C438B"/>
          <w:sz w:val="48"/>
          <w:szCs w:val="36"/>
          <w:lang w:eastAsia="zh-CN"/>
        </w:rPr>
      </w:pPr>
      <w:r>
        <w:br w:type="page"/>
      </w:r>
    </w:p>
    <w:p w:rsidR="008379F4" w:rsidRDefault="00661C88">
      <w:pPr>
        <w:pStyle w:val="Heading2"/>
        <w:numPr>
          <w:ilvl w:val="1"/>
          <w:numId w:val="6"/>
        </w:numPr>
      </w:pPr>
      <w:r>
        <w:lastRenderedPageBreak/>
        <w:t>Lesson sequence</w:t>
      </w:r>
    </w:p>
    <w:tbl>
      <w:tblPr>
        <w:tblStyle w:val="a2"/>
        <w:tblW w:w="14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37"/>
        <w:gridCol w:w="2268"/>
        <w:gridCol w:w="11482"/>
      </w:tblGrid>
      <w:tr w:rsidR="008379F4" w:rsidTr="008379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7" w:type="dxa"/>
          </w:tcPr>
          <w:p w:rsidR="008379F4" w:rsidRDefault="008379F4"/>
        </w:tc>
        <w:tc>
          <w:tcPr>
            <w:tcW w:w="2268" w:type="dxa"/>
          </w:tcPr>
          <w:p w:rsidR="008379F4" w:rsidRDefault="00661C88">
            <w:pPr>
              <w:cnfStyle w:val="100000000000" w:firstRow="1" w:lastRow="0" w:firstColumn="0" w:lastColumn="0" w:oddVBand="0" w:evenVBand="0" w:oddHBand="0" w:evenHBand="0" w:firstRowFirstColumn="0" w:firstRowLastColumn="0" w:lastRowFirstColumn="0" w:lastRowLastColumn="0"/>
            </w:pPr>
            <w:r>
              <w:t>Title</w:t>
            </w:r>
          </w:p>
        </w:tc>
        <w:tc>
          <w:tcPr>
            <w:tcW w:w="11482" w:type="dxa"/>
          </w:tcPr>
          <w:p w:rsidR="008379F4" w:rsidRDefault="00661C88">
            <w:pPr>
              <w:cnfStyle w:val="100000000000" w:firstRow="1" w:lastRow="0" w:firstColumn="0" w:lastColumn="0" w:oddVBand="0" w:evenVBand="0" w:oddHBand="0" w:evenHBand="0" w:firstRowFirstColumn="0" w:firstRowLastColumn="0" w:lastRowFirstColumn="0" w:lastRowLastColumn="0"/>
            </w:pPr>
            <w:r>
              <w:t>Overview</w:t>
            </w:r>
          </w:p>
        </w:tc>
      </w:tr>
      <w:tr w:rsidR="0083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8379F4" w:rsidRDefault="00661C88">
            <w:r>
              <w:t>1</w:t>
            </w:r>
          </w:p>
        </w:tc>
        <w:tc>
          <w:tcPr>
            <w:tcW w:w="2268" w:type="dxa"/>
          </w:tcPr>
          <w:p w:rsidR="008379F4" w:rsidRDefault="00661C88">
            <w:pPr>
              <w:cnfStyle w:val="000000100000" w:firstRow="0" w:lastRow="0" w:firstColumn="0" w:lastColumn="0" w:oddVBand="0" w:evenVBand="0" w:oddHBand="1" w:evenHBand="0" w:firstRowFirstColumn="0" w:firstRowLastColumn="0" w:lastRowFirstColumn="0" w:lastRowLastColumn="0"/>
            </w:pPr>
            <w:r>
              <w:t xml:space="preserve">Common hazards and causes. </w:t>
            </w:r>
          </w:p>
        </w:tc>
        <w:tc>
          <w:tcPr>
            <w:tcW w:w="11482" w:type="dxa"/>
          </w:tcPr>
          <w:p w:rsidR="008379F4" w:rsidRDefault="00661C88">
            <w:pPr>
              <w:widowControl/>
              <w:numPr>
                <w:ilvl w:val="0"/>
                <w:numId w:val="4"/>
              </w:numPr>
              <w:pBdr>
                <w:top w:val="nil"/>
                <w:left w:val="nil"/>
                <w:bottom w:val="nil"/>
                <w:right w:val="nil"/>
                <w:between w:val="nil"/>
              </w:pBdr>
              <w:spacing w:before="240"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Research the different types of hazards that can be on Australian farms using the resources </w:t>
            </w:r>
            <w:hyperlink r:id="rId13">
              <w:r>
                <w:rPr>
                  <w:color w:val="2F5496"/>
                  <w:u w:val="single"/>
                </w:rPr>
                <w:t>Farm safety risks and hazards</w:t>
              </w:r>
            </w:hyperlink>
            <w:r>
              <w:rPr>
                <w:color w:val="000000"/>
                <w:sz w:val="24"/>
                <w:szCs w:val="24"/>
              </w:rPr>
              <w:t xml:space="preserve">, </w:t>
            </w:r>
            <w:hyperlink r:id="rId14">
              <w:r>
                <w:rPr>
                  <w:color w:val="2F5496"/>
                  <w:u w:val="single"/>
                </w:rPr>
                <w:t>Shifting the safety culture on farm</w:t>
              </w:r>
            </w:hyperlink>
            <w:r>
              <w:rPr>
                <w:color w:val="000000"/>
                <w:sz w:val="24"/>
                <w:szCs w:val="24"/>
              </w:rPr>
              <w:t xml:space="preserve"> and </w:t>
            </w:r>
            <w:hyperlink r:id="rId15">
              <w:r>
                <w:rPr>
                  <w:color w:val="2F5496"/>
                  <w:u w:val="single"/>
                </w:rPr>
                <w:t>Farm safety series: assessing stockyard risks</w:t>
              </w:r>
            </w:hyperlink>
            <w:r>
              <w:rPr>
                <w:color w:val="000000"/>
                <w:sz w:val="24"/>
                <w:szCs w:val="24"/>
              </w:rPr>
              <w:t xml:space="preserve"> </w:t>
            </w:r>
          </w:p>
          <w:p w:rsidR="008379F4" w:rsidRDefault="00661C88">
            <w:pPr>
              <w:widowControl/>
              <w:numPr>
                <w:ilvl w:val="0"/>
                <w:numId w:val="4"/>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Using the ‘common hazards’ section of </w:t>
            </w:r>
            <w:hyperlink r:id="rId16">
              <w:r>
                <w:rPr>
                  <w:color w:val="2F5496"/>
                  <w:u w:val="single"/>
                </w:rPr>
                <w:t>Farm safety risks and hazards</w:t>
              </w:r>
            </w:hyperlink>
            <w:r>
              <w:rPr>
                <w:color w:val="000000"/>
                <w:sz w:val="24"/>
                <w:szCs w:val="24"/>
              </w:rPr>
              <w:t xml:space="preserve">, create a table with two columns; ‘hazards type’ in column A and ‘school farm hazards’ in column B. Place all the bolded words in column A and identify areas of the school farm where these hazards may occur in column B. For example, animals- cattle crush, yards, feeding areas. </w:t>
            </w:r>
          </w:p>
          <w:p w:rsidR="008379F4" w:rsidRDefault="00661C88">
            <w:pPr>
              <w:widowControl/>
              <w:numPr>
                <w:ilvl w:val="0"/>
                <w:numId w:val="4"/>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Research statistics on farm related injuries and deaths and the common causes and age groups. Use these statistics to create an infographic or mind map to present the data. </w:t>
            </w:r>
          </w:p>
        </w:tc>
      </w:tr>
      <w:tr w:rsidR="008379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8379F4" w:rsidRDefault="00661C88">
            <w:r>
              <w:t>2</w:t>
            </w:r>
          </w:p>
        </w:tc>
        <w:tc>
          <w:tcPr>
            <w:tcW w:w="2268" w:type="dxa"/>
          </w:tcPr>
          <w:p w:rsidR="008379F4" w:rsidRDefault="00661C88">
            <w:pPr>
              <w:cnfStyle w:val="000000010000" w:firstRow="0" w:lastRow="0" w:firstColumn="0" w:lastColumn="0" w:oddVBand="0" w:evenVBand="0" w:oddHBand="0" w:evenHBand="1" w:firstRowFirstColumn="0" w:firstRowLastColumn="0" w:lastRowFirstColumn="0" w:lastRowLastColumn="0"/>
            </w:pPr>
            <w:r>
              <w:t xml:space="preserve">Risk assessment </w:t>
            </w:r>
          </w:p>
        </w:tc>
        <w:tc>
          <w:tcPr>
            <w:tcW w:w="11482" w:type="dxa"/>
          </w:tcPr>
          <w:p w:rsidR="008379F4" w:rsidRDefault="00661C88">
            <w:pPr>
              <w:widowControl/>
              <w:numPr>
                <w:ilvl w:val="0"/>
                <w:numId w:val="5"/>
              </w:numPr>
              <w:pBdr>
                <w:top w:val="nil"/>
                <w:left w:val="nil"/>
                <w:bottom w:val="nil"/>
                <w:right w:val="nil"/>
                <w:between w:val="nil"/>
              </w:pBdr>
              <w:spacing w:before="240" w:line="276" w:lineRule="auto"/>
              <w:cnfStyle w:val="000000010000" w:firstRow="0" w:lastRow="0" w:firstColumn="0" w:lastColumn="0" w:oddVBand="0" w:evenVBand="0" w:oddHBand="0" w:evenHBand="1" w:firstRowFirstColumn="0" w:firstRowLastColumn="0" w:lastRowFirstColumn="0" w:lastRowLastColumn="0"/>
            </w:pPr>
            <w:r>
              <w:rPr>
                <w:sz w:val="24"/>
                <w:szCs w:val="24"/>
              </w:rPr>
              <w:t xml:space="preserve">For one area or task performed on the school farm, use the steps outlined in </w:t>
            </w:r>
            <w:hyperlink r:id="rId17">
              <w:r>
                <w:rPr>
                  <w:color w:val="2F5496"/>
                  <w:u w:val="single"/>
                </w:rPr>
                <w:t>Farm safety series: assessing stockyard risks</w:t>
              </w:r>
            </w:hyperlink>
            <w:r>
              <w:rPr>
                <w:sz w:val="24"/>
                <w:szCs w:val="24"/>
              </w:rPr>
              <w:t xml:space="preserve"> to create a risk assessment. Identify the possible hazards in the area, assess the risks associated, provide a range of possible solutions to prevent or minimise the risk and detail a recommendation for reviewing the assessment into the future. </w:t>
            </w:r>
          </w:p>
          <w:p w:rsidR="008379F4" w:rsidRDefault="00661C88">
            <w:pPr>
              <w:widowControl/>
              <w:numPr>
                <w:ilvl w:val="0"/>
                <w:numId w:val="5"/>
              </w:numPr>
              <w:pBdr>
                <w:top w:val="nil"/>
                <w:left w:val="nil"/>
                <w:bottom w:val="nil"/>
                <w:right w:val="nil"/>
                <w:between w:val="nil"/>
              </w:pBdr>
              <w:spacing w:line="276" w:lineRule="auto"/>
              <w:cnfStyle w:val="000000010000" w:firstRow="0" w:lastRow="0" w:firstColumn="0" w:lastColumn="0" w:oddVBand="0" w:evenVBand="0" w:oddHBand="0" w:evenHBand="1" w:firstRowFirstColumn="0" w:firstRowLastColumn="0" w:lastRowFirstColumn="0" w:lastRowLastColumn="0"/>
            </w:pPr>
            <w:r>
              <w:rPr>
                <w:sz w:val="24"/>
                <w:szCs w:val="24"/>
              </w:rPr>
              <w:t xml:space="preserve">Create a diagram or use a photo to identify the main hazards within the area. </w:t>
            </w:r>
          </w:p>
        </w:tc>
      </w:tr>
      <w:tr w:rsidR="0083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rsidR="008379F4" w:rsidRDefault="00661C88">
            <w:r>
              <w:t>3</w:t>
            </w:r>
          </w:p>
        </w:tc>
        <w:tc>
          <w:tcPr>
            <w:tcW w:w="2268" w:type="dxa"/>
          </w:tcPr>
          <w:p w:rsidR="008379F4" w:rsidRDefault="00661C88">
            <w:pPr>
              <w:cnfStyle w:val="000000100000" w:firstRow="0" w:lastRow="0" w:firstColumn="0" w:lastColumn="0" w:oddVBand="0" w:evenVBand="0" w:oddHBand="1" w:evenHBand="0" w:firstRowFirstColumn="0" w:firstRowLastColumn="0" w:lastRowFirstColumn="0" w:lastRowLastColumn="0"/>
            </w:pPr>
            <w:r>
              <w:t xml:space="preserve">Safety Campaign </w:t>
            </w:r>
          </w:p>
        </w:tc>
        <w:tc>
          <w:tcPr>
            <w:tcW w:w="11482" w:type="dxa"/>
          </w:tcPr>
          <w:p w:rsidR="008379F4" w:rsidRDefault="00661C88">
            <w:pPr>
              <w:widowControl/>
              <w:numPr>
                <w:ilvl w:val="0"/>
                <w:numId w:val="1"/>
              </w:numPr>
              <w:pBdr>
                <w:top w:val="nil"/>
                <w:left w:val="nil"/>
                <w:bottom w:val="nil"/>
                <w:right w:val="nil"/>
                <w:between w:val="nil"/>
              </w:pBdr>
              <w:spacing w:before="240"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Create a safety campaign to be used on the school farm to alert younger students of the possible dangers. The campaign needs to include:</w:t>
            </w:r>
          </w:p>
          <w:p w:rsidR="008379F4" w:rsidRDefault="00661C88">
            <w:pPr>
              <w:widowControl/>
              <w:numPr>
                <w:ilvl w:val="1"/>
                <w:numId w:val="1"/>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at least one safety poster for an area of production on the farm, </w:t>
            </w:r>
          </w:p>
          <w:p w:rsidR="008379F4" w:rsidRDefault="00661C88">
            <w:pPr>
              <w:widowControl/>
              <w:numPr>
                <w:ilvl w:val="1"/>
                <w:numId w:val="1"/>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a set of safety rules that should be followed when working on the school farm and </w:t>
            </w:r>
          </w:p>
          <w:p w:rsidR="008379F4" w:rsidRDefault="00661C88">
            <w:pPr>
              <w:widowControl/>
              <w:numPr>
                <w:ilvl w:val="1"/>
                <w:numId w:val="1"/>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a short presentation that can be delivered by the classroom teacher to inform students about farm safety in Australia and why safety matters on the school farm. This presentation needs to </w:t>
            </w:r>
            <w:r>
              <w:rPr>
                <w:color w:val="000000"/>
                <w:sz w:val="24"/>
                <w:szCs w:val="24"/>
              </w:rPr>
              <w:lastRenderedPageBreak/>
              <w:t xml:space="preserve">be engaging for students 11-14 years old, and run independently of the teacher (for example, a video presentation, PowToon, or timed PowerPoint). </w:t>
            </w:r>
          </w:p>
        </w:tc>
      </w:tr>
    </w:tbl>
    <w:p w:rsidR="008379F4" w:rsidRDefault="008379F4">
      <w:bookmarkStart w:id="2" w:name="_heading=h.gjdgxs" w:colFirst="0" w:colLast="0"/>
      <w:bookmarkEnd w:id="2"/>
    </w:p>
    <w:sectPr w:rsidR="008379F4">
      <w:headerReference w:type="even" r:id="rId18"/>
      <w:headerReference w:type="default" r:id="rId19"/>
      <w:footerReference w:type="even" r:id="rId20"/>
      <w:footerReference w:type="default" r:id="rId21"/>
      <w:headerReference w:type="first" r:id="rId22"/>
      <w:footerReference w:type="first" r:id="rId23"/>
      <w:pgSz w:w="16840" w:h="11900"/>
      <w:pgMar w:top="1134" w:right="1134" w:bottom="1134" w:left="1134"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38C" w:rsidRDefault="0000538C">
      <w:pPr>
        <w:spacing w:before="0" w:line="240" w:lineRule="auto"/>
      </w:pPr>
      <w:r>
        <w:separator/>
      </w:r>
    </w:p>
  </w:endnote>
  <w:endnote w:type="continuationSeparator" w:id="0">
    <w:p w:rsidR="0000538C" w:rsidRDefault="000053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Body)">
    <w:panose1 w:val="00000000000000000000"/>
    <w:charset w:val="00"/>
    <w:family w:val="roman"/>
    <w:notTrueType/>
    <w:pitch w:val="default"/>
  </w:font>
  <w:font w:name="Times New Roman (Body C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F4" w:rsidRDefault="00661C88">
    <w:pPr>
      <w:pBdr>
        <w:top w:val="nil"/>
        <w:left w:val="nil"/>
        <w:bottom w:val="nil"/>
        <w:right w:val="nil"/>
        <w:between w:val="nil"/>
      </w:pBdr>
      <w:tabs>
        <w:tab w:val="right" w:pos="10773"/>
      </w:tabs>
      <w:spacing w:before="480"/>
      <w:ind w:left="-567" w:right="-567" w:firstLine="567"/>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E81317">
      <w:rPr>
        <w:noProof/>
        <w:color w:val="000000"/>
        <w:sz w:val="18"/>
        <w:szCs w:val="18"/>
      </w:rPr>
      <w:t>2</w:t>
    </w:r>
    <w:r>
      <w:rPr>
        <w:color w:val="000000"/>
        <w:sz w:val="18"/>
        <w:szCs w:val="18"/>
      </w:rPr>
      <w:fldChar w:fldCharType="end"/>
    </w:r>
    <w:r>
      <w:rPr>
        <w:color w:val="000000"/>
        <w:sz w:val="18"/>
        <w:szCs w:val="18"/>
      </w:rPr>
      <w:tab/>
      <w:t>Sample virtual program: Stage 5 Agriculture,</w:t>
    </w:r>
    <w:r>
      <w:rPr>
        <w:sz w:val="18"/>
        <w:szCs w:val="18"/>
      </w:rPr>
      <w:t xml:space="preserve"> general content</w:t>
    </w:r>
    <w:r>
      <w:rPr>
        <w:color w:val="000000"/>
        <w:sz w:val="18"/>
        <w:szCs w:val="18"/>
      </w:rPr>
      <w:t xml:space="preserve">, </w:t>
    </w:r>
    <w:r>
      <w:rPr>
        <w:sz w:val="18"/>
        <w:szCs w:val="18"/>
      </w:rPr>
      <w:t>work health and safety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F4" w:rsidRDefault="00661C88">
    <w:pPr>
      <w:pBdr>
        <w:top w:val="nil"/>
        <w:left w:val="nil"/>
        <w:bottom w:val="nil"/>
        <w:right w:val="nil"/>
        <w:between w:val="nil"/>
      </w:pBdr>
      <w:tabs>
        <w:tab w:val="right" w:pos="10773"/>
      </w:tabs>
      <w:spacing w:before="480"/>
      <w:ind w:left="-567" w:right="-567" w:firstLine="567"/>
      <w:rPr>
        <w:color w:val="000000"/>
        <w:sz w:val="18"/>
        <w:szCs w:val="18"/>
      </w:rPr>
    </w:pPr>
    <w:r>
      <w:rPr>
        <w:color w:val="000000"/>
        <w:sz w:val="18"/>
        <w:szCs w:val="18"/>
      </w:rPr>
      <w:t>© NSW Department of Education, Mar-20</w:t>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E81317">
      <w:rPr>
        <w:noProof/>
        <w:color w:val="000000"/>
        <w:sz w:val="18"/>
        <w:szCs w:val="18"/>
      </w:rPr>
      <w:t>3</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F4" w:rsidRDefault="00661C88">
    <w:pPr>
      <w:pBdr>
        <w:top w:val="nil"/>
        <w:left w:val="nil"/>
        <w:bottom w:val="nil"/>
        <w:right w:val="nil"/>
        <w:between w:val="nil"/>
      </w:pBdr>
      <w:tabs>
        <w:tab w:val="right" w:pos="10199"/>
      </w:tabs>
      <w:ind w:left="-567" w:right="-574" w:firstLine="567"/>
      <w:rPr>
        <w:b/>
        <w:color w:val="002060"/>
        <w:sz w:val="28"/>
        <w:szCs w:val="28"/>
      </w:rPr>
    </w:pPr>
    <w:r>
      <w:rPr>
        <w:b/>
        <w:color w:val="002060"/>
      </w:rPr>
      <w:t>education.nsw.gov.au</w:t>
    </w:r>
    <w:r>
      <w:rPr>
        <w:b/>
        <w:color w:val="002060"/>
        <w:sz w:val="28"/>
        <w:szCs w:val="28"/>
      </w:rPr>
      <w:tab/>
    </w:r>
    <w:r>
      <w:rPr>
        <w:b/>
        <w:noProof/>
        <w:color w:val="002060"/>
        <w:sz w:val="28"/>
        <w:szCs w:val="28"/>
      </w:rPr>
      <w:drawing>
        <wp:inline distT="0" distB="0" distL="0" distR="0">
          <wp:extent cx="507600" cy="540000"/>
          <wp:effectExtent l="0" t="0" r="0" b="0"/>
          <wp:docPr id="6" name="image1.png" descr="NSW Government logo"/>
          <wp:cNvGraphicFramePr/>
          <a:graphic xmlns:a="http://schemas.openxmlformats.org/drawingml/2006/main">
            <a:graphicData uri="http://schemas.openxmlformats.org/drawingml/2006/picture">
              <pic:pic xmlns:pic="http://schemas.openxmlformats.org/drawingml/2006/picture">
                <pic:nvPicPr>
                  <pic:cNvPr id="0" name="image1.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38C" w:rsidRDefault="0000538C">
      <w:pPr>
        <w:spacing w:before="0" w:line="240" w:lineRule="auto"/>
      </w:pPr>
      <w:r>
        <w:separator/>
      </w:r>
    </w:p>
  </w:footnote>
  <w:footnote w:type="continuationSeparator" w:id="0">
    <w:p w:rsidR="0000538C" w:rsidRDefault="0000538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17" w:rsidRDefault="00E81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17" w:rsidRDefault="00E81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F4" w:rsidRDefault="00661C88">
    <w:pPr>
      <w:pBdr>
        <w:top w:val="nil"/>
        <w:left w:val="nil"/>
        <w:bottom w:val="single" w:sz="8" w:space="10" w:color="D0CECE"/>
        <w:right w:val="nil"/>
        <w:between w:val="nil"/>
      </w:pBdr>
      <w:spacing w:before="0" w:after="240"/>
      <w:rPr>
        <w:b/>
        <w:color w:val="002060"/>
      </w:rPr>
    </w:pPr>
    <w:r>
      <w:rPr>
        <w:b/>
        <w:color w:val="002060"/>
      </w:rP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515C"/>
    <w:multiLevelType w:val="multilevel"/>
    <w:tmpl w:val="D87483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7BF7162"/>
    <w:multiLevelType w:val="multilevel"/>
    <w:tmpl w:val="20E2E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650E4C"/>
    <w:multiLevelType w:val="multilevel"/>
    <w:tmpl w:val="587ACB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DC851F0"/>
    <w:multiLevelType w:val="multilevel"/>
    <w:tmpl w:val="6666B2C8"/>
    <w:lvl w:ilvl="0">
      <w:start w:val="2"/>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E277AC6"/>
    <w:multiLevelType w:val="multilevel"/>
    <w:tmpl w:val="BFE069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F2A0B91"/>
    <w:multiLevelType w:val="multilevel"/>
    <w:tmpl w:val="BE30B3EA"/>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6" w15:restartNumberingAfterBreak="0">
    <w:nsid w:val="64ED2F1D"/>
    <w:multiLevelType w:val="multilevel"/>
    <w:tmpl w:val="59E62004"/>
    <w:lvl w:ilvl="0">
      <w:start w:val="1"/>
      <w:numFmt w:val="decimal"/>
      <w:pStyle w:val="ListNumber"/>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MTa3NDcytjC1NDBX0lEKTi0uzszPAykwrAUABUTLSCwAAAA="/>
  </w:docVars>
  <w:rsids>
    <w:rsidRoot w:val="008379F4"/>
    <w:rsid w:val="0000538C"/>
    <w:rsid w:val="00661C88"/>
    <w:rsid w:val="008379F4"/>
    <w:rsid w:val="00AC7197"/>
    <w:rsid w:val="00DA494E"/>
    <w:rsid w:val="00E81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AU" w:eastAsia="en-AU"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style>
  <w:style w:type="paragraph" w:styleId="Heading1">
    <w:name w:val="heading 1"/>
    <w:aliases w:val="ŠHeading 1"/>
    <w:basedOn w:val="Normal"/>
    <w:next w:val="Normal"/>
    <w:link w:val="Heading1Char"/>
    <w:uiPriority w:val="9"/>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9"/>
    <w:unhideWhenUsed/>
    <w:qFormat/>
    <w:rsid w:val="00F13777"/>
    <w:pPr>
      <w:keepNext/>
      <w:keepLines/>
      <w:numPr>
        <w:ilvl w:val="1"/>
        <w:numId w:val="7"/>
      </w:numPr>
      <w:tabs>
        <w:tab w:val="left" w:pos="567"/>
        <w:tab w:val="left" w:pos="1134"/>
        <w:tab w:val="left" w:pos="1701"/>
        <w:tab w:val="left" w:pos="2268"/>
        <w:tab w:val="left" w:pos="2835"/>
        <w:tab w:val="left" w:pos="3402"/>
      </w:tabs>
      <w:spacing w:after="280"/>
      <w:ind w:left="0"/>
      <w:outlineLvl w:val="1"/>
    </w:pPr>
    <w:rPr>
      <w:rFonts w:eastAsia="SimSun"/>
      <w:b/>
      <w:color w:val="1C438B"/>
      <w:sz w:val="48"/>
      <w:szCs w:val="36"/>
      <w:lang w:eastAsia="zh-CN"/>
    </w:rPr>
  </w:style>
  <w:style w:type="paragraph" w:styleId="Heading3">
    <w:name w:val="heading 3"/>
    <w:aliases w:val="ŠHeading 3"/>
    <w:basedOn w:val="Normal"/>
    <w:next w:val="Normal"/>
    <w:link w:val="Heading3Char"/>
    <w:uiPriority w:val="9"/>
    <w:semiHidden/>
    <w:unhideWhenUsed/>
    <w:qFormat/>
    <w:rsid w:val="00F13777"/>
    <w:pPr>
      <w:keepNext/>
      <w:keepLines/>
      <w:numPr>
        <w:ilvl w:val="2"/>
        <w:numId w:val="7"/>
      </w:numPr>
      <w:tabs>
        <w:tab w:val="left" w:pos="567"/>
        <w:tab w:val="left" w:pos="1134"/>
        <w:tab w:val="left" w:pos="1701"/>
        <w:tab w:val="left" w:pos="2268"/>
        <w:tab w:val="left" w:pos="2835"/>
        <w:tab w:val="left" w:pos="3402"/>
      </w:tabs>
      <w:spacing w:after="200"/>
      <w:ind w:left="0"/>
      <w:outlineLvl w:val="2"/>
    </w:pPr>
    <w:rPr>
      <w:rFonts w:eastAsia="SimSun"/>
      <w:color w:val="1C438B"/>
      <w:sz w:val="40"/>
      <w:szCs w:val="40"/>
      <w:lang w:eastAsia="zh-CN"/>
    </w:rPr>
  </w:style>
  <w:style w:type="paragraph" w:styleId="Heading4">
    <w:name w:val="heading 4"/>
    <w:aliases w:val="ŠHeading 4"/>
    <w:basedOn w:val="Normal"/>
    <w:next w:val="Normal"/>
    <w:link w:val="Heading4Char"/>
    <w:uiPriority w:val="9"/>
    <w:semiHidden/>
    <w:unhideWhenUsed/>
    <w:qFormat/>
    <w:rsid w:val="0033147A"/>
    <w:pPr>
      <w:keepNext/>
      <w:keepLines/>
      <w:numPr>
        <w:ilvl w:val="3"/>
        <w:numId w:val="7"/>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9"/>
    <w:semiHidden/>
    <w:unhideWhenUsed/>
    <w:qFormat/>
    <w:rsid w:val="00F13777"/>
    <w:pPr>
      <w:keepNext/>
      <w:keepLines/>
      <w:numPr>
        <w:ilvl w:val="4"/>
        <w:numId w:val="7"/>
      </w:numPr>
      <w:tabs>
        <w:tab w:val="left" w:pos="567"/>
        <w:tab w:val="left" w:pos="1134"/>
        <w:tab w:val="left" w:pos="1701"/>
        <w:tab w:val="left" w:pos="2268"/>
        <w:tab w:val="left" w:pos="2835"/>
        <w:tab w:val="left" w:pos="3402"/>
      </w:tabs>
      <w:ind w:left="0"/>
      <w:outlineLvl w:val="4"/>
    </w:pPr>
    <w:rPr>
      <w:rFonts w:eastAsia="SimSun"/>
      <w:color w:val="041F42"/>
      <w:sz w:val="32"/>
      <w:lang w:eastAsia="zh-CN"/>
    </w:rPr>
  </w:style>
  <w:style w:type="paragraph" w:styleId="Heading6">
    <w:name w:val="heading 6"/>
    <w:aliases w:val="ŠHeading 6"/>
    <w:basedOn w:val="Normal"/>
    <w:next w:val="Normal"/>
    <w:link w:val="Heading6Char"/>
    <w:uiPriority w:val="9"/>
    <w:semiHidden/>
    <w:unhideWhenUsed/>
    <w:qFormat/>
    <w:rsid w:val="009C575A"/>
    <w:pPr>
      <w:keepNext/>
      <w:keepLines/>
      <w:numPr>
        <w:ilvl w:val="5"/>
        <w:numId w:val="7"/>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ŠTitle"/>
    <w:basedOn w:val="Normal"/>
    <w:next w:val="Normal"/>
    <w:link w:val="TitleChar"/>
    <w:uiPriority w:val="10"/>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tabs>
        <w:tab w:val="left" w:pos="1134"/>
        <w:tab w:val="num" w:pos="1440"/>
      </w:tabs>
      <w:adjustRightInd w:val="0"/>
      <w:snapToGrid w:val="0"/>
      <w:spacing w:before="40" w:line="300" w:lineRule="auto"/>
      <w:ind w:left="1440" w:hanging="720"/>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tabs>
        <w:tab w:val="left" w:pos="1134"/>
        <w:tab w:val="num" w:pos="1440"/>
      </w:tabs>
      <w:snapToGrid w:val="0"/>
      <w:spacing w:before="40" w:line="300" w:lineRule="auto"/>
      <w:ind w:left="1440" w:hanging="720"/>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style>
  <w:style w:type="paragraph" w:styleId="ListNumber">
    <w:name w:val="List Number"/>
    <w:aliases w:val="ŠList 1 number"/>
    <w:basedOn w:val="Normal"/>
    <w:uiPriority w:val="13"/>
    <w:qFormat/>
    <w:rsid w:val="00F740FA"/>
    <w:pPr>
      <w:numPr>
        <w:numId w:val="8"/>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0"/>
      </w:numPr>
      <w:tabs>
        <w:tab w:val="num" w:pos="720"/>
      </w:tabs>
      <w:ind w:left="720" w:hanging="720"/>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style>
  <w:style w:type="table" w:styleId="TableGrid1">
    <w:name w:val="Table Grid 1"/>
    <w:aliases w:val="ŠTable"/>
    <w:basedOn w:val="TableNormal"/>
    <w:uiPriority w:val="99"/>
    <w:unhideWhenUsed/>
    <w:rsid w:val="00F740FA"/>
    <w:pPr>
      <w:spacing w:before="80" w:after="80" w:line="240" w:lineRule="auto"/>
    </w:pPr>
    <w:rPr>
      <w:rFonts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customStyle="1" w:styleId="UnresolvedMention">
    <w:name w:val="Unresolved Mention"/>
    <w:basedOn w:val="DefaultParagraphFont"/>
    <w:uiPriority w:val="99"/>
    <w:semiHidden/>
    <w:unhideWhenUsed/>
    <w:rsid w:val="0082297E"/>
    <w:rPr>
      <w:color w:val="605E5C"/>
      <w:shd w:val="clear" w:color="auto" w:fill="E1DFDD"/>
    </w:rPr>
  </w:style>
  <w:style w:type="paragraph" w:styleId="NormalWeb">
    <w:name w:val="Normal (Web)"/>
    <w:basedOn w:val="Normal"/>
    <w:uiPriority w:val="99"/>
    <w:unhideWhenUsed/>
    <w:rsid w:val="00D70C1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before="80" w:after="80" w:line="240" w:lineRule="auto"/>
    </w:pPr>
    <w:rPr>
      <w:sz w:val="22"/>
      <w:szCs w:val="22"/>
    </w:rPr>
    <w:tblPr>
      <w:tblStyleRowBandSize w:val="1"/>
      <w:tblStyleColBandSize w:val="1"/>
      <w:tblCellMar>
        <w:left w:w="115" w:type="dxa"/>
        <w:right w:w="115" w:type="dxa"/>
      </w:tblCellMar>
    </w:tblPr>
    <w:tcPr>
      <w:shd w:val="clear" w:color="auto" w:fill="auto"/>
      <w:vAlign w:val="center"/>
    </w:tcPr>
    <w:tblStylePr w:type="firstRow">
      <w:pPr>
        <w:keepNext w:val="0"/>
        <w:keepLines w:val="0"/>
        <w:widowControl w:val="0"/>
        <w:spacing w:before="0" w:after="0" w:line="240" w:lineRule="auto"/>
        <w:jc w:val="left"/>
      </w:pPr>
      <w:rPr>
        <w:rFonts w:ascii="Arial" w:eastAsia="Arial" w:hAnsi="Arial" w:cs="Arial"/>
        <w:b/>
        <w:color w:val="FFFFFF"/>
        <w:sz w:val="22"/>
        <w:szCs w:val="22"/>
      </w:rPr>
      <w:tblPr/>
      <w:tcPr>
        <w:tcBorders>
          <w:top w:val="single" w:sz="24" w:space="0" w:color="1F3864"/>
          <w:left w:val="single" w:sz="24" w:space="0" w:color="1F3864"/>
          <w:bottom w:val="single" w:sz="24" w:space="0" w:color="C00000"/>
          <w:right w:val="single" w:sz="24" w:space="0" w:color="1F3864"/>
          <w:insideH w:val="single" w:sz="24" w:space="0" w:color="1F3864"/>
          <w:insideV w:val="single" w:sz="24" w:space="0" w:color="1F3864"/>
        </w:tcBorders>
        <w:shd w:val="clear" w:color="auto" w:fill="1F3864"/>
      </w:tcPr>
    </w:tblStylePr>
    <w:tblStylePr w:type="lastRow">
      <w:pPr>
        <w:keepNext w:val="0"/>
        <w:keepLines w:val="0"/>
        <w:widowControl w:val="0"/>
        <w:spacing w:line="240" w:lineRule="auto"/>
      </w:pPr>
    </w:tblStylePr>
    <w:tblStylePr w:type="firstCol">
      <w:pPr>
        <w:keepNext w:val="0"/>
        <w:keepLines w:val="0"/>
        <w:widowControl w:val="0"/>
        <w:spacing w:before="0" w:after="0" w:line="240" w:lineRule="auto"/>
      </w:pPr>
      <w:rPr>
        <w:rFonts w:ascii="Arial" w:eastAsia="Arial" w:hAnsi="Arial" w:cs="Arial"/>
        <w:b/>
        <w:sz w:val="22"/>
        <w:szCs w:val="22"/>
      </w:rPr>
    </w:tblStylePr>
    <w:tblStylePr w:type="lastCol">
      <w:pPr>
        <w:keepNext w:val="0"/>
        <w:keepLines w:val="0"/>
        <w:widowControl w:val="0"/>
        <w:spacing w:line="240" w:lineRule="auto"/>
      </w:pPr>
    </w:tblStylePr>
    <w:tblStylePr w:type="band1Vert">
      <w:pPr>
        <w:keepNext w:val="0"/>
        <w:keepLines w:val="0"/>
        <w:widowControl w:val="0"/>
        <w:spacing w:before="192" w:after="192" w:line="240" w:lineRule="auto"/>
      </w:pPr>
      <w:rPr>
        <w:rFonts w:ascii="Arial" w:eastAsia="Arial" w:hAnsi="Arial" w:cs="Arial"/>
        <w:sz w:val="22"/>
        <w:szCs w:val="22"/>
      </w:rPr>
    </w:tblStylePr>
    <w:tblStylePr w:type="band2Vert">
      <w:pPr>
        <w:keepNext w:val="0"/>
        <w:keepLines w:val="0"/>
        <w:widowControl w:val="0"/>
        <w:spacing w:before="192" w:after="192" w:line="240" w:lineRule="auto"/>
      </w:pPr>
    </w:tblStylePr>
    <w:tblStylePr w:type="band1Horz">
      <w:pPr>
        <w:keepNext w:val="0"/>
        <w:keepLines w:val="0"/>
        <w:widowControl w:val="0"/>
        <w:spacing w:before="0" w:after="0" w:line="240" w:lineRule="auto"/>
      </w:p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tblStylePr w:type="band2Horz">
      <w:pPr>
        <w:keepNext w:val="0"/>
        <w:keepLines w:val="0"/>
        <w:widowControl w:val="0"/>
        <w:spacing w:before="0" w:after="0" w:line="240" w:lineRule="auto"/>
      </w:pPr>
      <w:rPr>
        <w:rFonts w:ascii="Arial" w:eastAsia="Arial" w:hAnsi="Arial" w:cs="Arial"/>
        <w:color w:val="000000"/>
        <w:sz w:val="22"/>
        <w:szCs w:val="22"/>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7E6E6"/>
      </w:tcPr>
    </w:tblStylePr>
    <w:tblStylePr w:type="neCell">
      <w:pPr>
        <w:keepNext w:val="0"/>
        <w:keepLines w:val="0"/>
        <w:widowControl w:val="0"/>
        <w:spacing w:before="192" w:after="192" w:line="240" w:lineRule="auto"/>
      </w:pPr>
    </w:tblStylePr>
    <w:tblStylePr w:type="nwCell">
      <w:pPr>
        <w:keepNext w:val="0"/>
        <w:keepLines w:val="0"/>
        <w:widowControl w:val="0"/>
        <w:spacing w:before="192" w:after="192" w:line="240" w:lineRule="auto"/>
      </w:pPr>
    </w:tblStylePr>
    <w:tblStylePr w:type="seCell">
      <w:pPr>
        <w:keepNext w:val="0"/>
        <w:keepLines w:val="0"/>
        <w:widowControl w:val="0"/>
        <w:spacing w:before="192" w:after="192" w:line="240" w:lineRule="auto"/>
      </w:pPr>
    </w:tblStylePr>
    <w:tblStylePr w:type="swCell">
      <w:pPr>
        <w:keepNext w:val="0"/>
        <w:keepLines w:val="0"/>
        <w:widowControl w:val="0"/>
        <w:spacing w:before="192" w:after="192" w:line="240" w:lineRule="auto"/>
      </w:pPr>
    </w:tblStylePr>
  </w:style>
  <w:style w:type="table" w:customStyle="1" w:styleId="a0">
    <w:basedOn w:val="TableNormal"/>
    <w:pPr>
      <w:widowControl w:val="0"/>
      <w:spacing w:before="80" w:after="80" w:line="240" w:lineRule="auto"/>
    </w:pPr>
    <w:rPr>
      <w:sz w:val="22"/>
      <w:szCs w:val="22"/>
    </w:rPr>
    <w:tblPr>
      <w:tblStyleRowBandSize w:val="1"/>
      <w:tblStyleColBandSize w:val="1"/>
      <w:tblCellMar>
        <w:left w:w="115" w:type="dxa"/>
        <w:right w:w="115" w:type="dxa"/>
      </w:tblCellMar>
    </w:tblPr>
    <w:tcPr>
      <w:shd w:val="clear" w:color="auto" w:fill="auto"/>
      <w:vAlign w:val="center"/>
    </w:tcPr>
    <w:tblStylePr w:type="firstRow">
      <w:pPr>
        <w:keepNext w:val="0"/>
        <w:keepLines w:val="0"/>
        <w:widowControl w:val="0"/>
        <w:spacing w:before="0" w:after="0" w:line="240" w:lineRule="auto"/>
        <w:jc w:val="left"/>
      </w:pPr>
      <w:rPr>
        <w:rFonts w:ascii="Arial" w:eastAsia="Arial" w:hAnsi="Arial" w:cs="Arial"/>
        <w:b/>
        <w:color w:val="FFFFFF"/>
        <w:sz w:val="22"/>
        <w:szCs w:val="22"/>
      </w:rPr>
      <w:tblPr/>
      <w:tcPr>
        <w:tcBorders>
          <w:top w:val="single" w:sz="24" w:space="0" w:color="1F3864"/>
          <w:left w:val="single" w:sz="24" w:space="0" w:color="1F3864"/>
          <w:bottom w:val="single" w:sz="24" w:space="0" w:color="C00000"/>
          <w:right w:val="single" w:sz="24" w:space="0" w:color="1F3864"/>
          <w:insideH w:val="single" w:sz="24" w:space="0" w:color="1F3864"/>
          <w:insideV w:val="single" w:sz="24" w:space="0" w:color="1F3864"/>
        </w:tcBorders>
        <w:shd w:val="clear" w:color="auto" w:fill="1F3864"/>
      </w:tcPr>
    </w:tblStylePr>
    <w:tblStylePr w:type="lastRow">
      <w:pPr>
        <w:keepNext w:val="0"/>
        <w:keepLines w:val="0"/>
        <w:widowControl w:val="0"/>
        <w:spacing w:line="240" w:lineRule="auto"/>
      </w:pPr>
    </w:tblStylePr>
    <w:tblStylePr w:type="firstCol">
      <w:pPr>
        <w:keepNext w:val="0"/>
        <w:keepLines w:val="0"/>
        <w:widowControl w:val="0"/>
        <w:spacing w:before="0" w:after="0" w:line="240" w:lineRule="auto"/>
      </w:pPr>
      <w:rPr>
        <w:rFonts w:ascii="Arial" w:eastAsia="Arial" w:hAnsi="Arial" w:cs="Arial"/>
        <w:b/>
        <w:sz w:val="22"/>
        <w:szCs w:val="22"/>
      </w:rPr>
    </w:tblStylePr>
    <w:tblStylePr w:type="lastCol">
      <w:pPr>
        <w:keepNext w:val="0"/>
        <w:keepLines w:val="0"/>
        <w:widowControl w:val="0"/>
        <w:spacing w:line="240" w:lineRule="auto"/>
      </w:pPr>
    </w:tblStylePr>
    <w:tblStylePr w:type="band1Vert">
      <w:pPr>
        <w:keepNext w:val="0"/>
        <w:keepLines w:val="0"/>
        <w:widowControl w:val="0"/>
        <w:spacing w:before="192" w:after="192" w:line="240" w:lineRule="auto"/>
      </w:pPr>
      <w:rPr>
        <w:rFonts w:ascii="Arial" w:eastAsia="Arial" w:hAnsi="Arial" w:cs="Arial"/>
        <w:sz w:val="22"/>
        <w:szCs w:val="22"/>
      </w:rPr>
    </w:tblStylePr>
    <w:tblStylePr w:type="band2Vert">
      <w:pPr>
        <w:keepNext w:val="0"/>
        <w:keepLines w:val="0"/>
        <w:widowControl w:val="0"/>
        <w:spacing w:before="192" w:after="192" w:line="240" w:lineRule="auto"/>
      </w:pPr>
    </w:tblStylePr>
    <w:tblStylePr w:type="band1Horz">
      <w:pPr>
        <w:keepNext w:val="0"/>
        <w:keepLines w:val="0"/>
        <w:widowControl w:val="0"/>
        <w:spacing w:before="0" w:after="0" w:line="240" w:lineRule="auto"/>
      </w:p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tblStylePr w:type="band2Horz">
      <w:pPr>
        <w:keepNext w:val="0"/>
        <w:keepLines w:val="0"/>
        <w:widowControl w:val="0"/>
        <w:spacing w:before="0" w:after="0" w:line="240" w:lineRule="auto"/>
      </w:pPr>
      <w:rPr>
        <w:rFonts w:ascii="Arial" w:eastAsia="Arial" w:hAnsi="Arial" w:cs="Arial"/>
        <w:color w:val="000000"/>
        <w:sz w:val="22"/>
        <w:szCs w:val="22"/>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7E6E6"/>
      </w:tcPr>
    </w:tblStylePr>
    <w:tblStylePr w:type="neCell">
      <w:pPr>
        <w:keepNext w:val="0"/>
        <w:keepLines w:val="0"/>
        <w:widowControl w:val="0"/>
        <w:spacing w:before="192" w:after="192" w:line="240" w:lineRule="auto"/>
      </w:pPr>
    </w:tblStylePr>
    <w:tblStylePr w:type="nwCell">
      <w:pPr>
        <w:keepNext w:val="0"/>
        <w:keepLines w:val="0"/>
        <w:widowControl w:val="0"/>
        <w:spacing w:before="192" w:after="192" w:line="240" w:lineRule="auto"/>
      </w:pPr>
    </w:tblStylePr>
    <w:tblStylePr w:type="seCell">
      <w:pPr>
        <w:keepNext w:val="0"/>
        <w:keepLines w:val="0"/>
        <w:widowControl w:val="0"/>
        <w:spacing w:before="192" w:after="192" w:line="240" w:lineRule="auto"/>
      </w:pPr>
    </w:tblStylePr>
    <w:tblStylePr w:type="swCell">
      <w:pPr>
        <w:keepNext w:val="0"/>
        <w:keepLines w:val="0"/>
        <w:widowControl w:val="0"/>
        <w:spacing w:before="192" w:after="192" w:line="240" w:lineRule="auto"/>
      </w:pPr>
    </w:tblStylePr>
  </w:style>
  <w:style w:type="table" w:customStyle="1" w:styleId="a1">
    <w:basedOn w:val="TableNormal"/>
    <w:pPr>
      <w:widowControl w:val="0"/>
      <w:spacing w:before="80" w:after="80" w:line="240" w:lineRule="auto"/>
    </w:pPr>
    <w:rPr>
      <w:sz w:val="22"/>
      <w:szCs w:val="22"/>
    </w:rPr>
    <w:tblPr>
      <w:tblStyleRowBandSize w:val="1"/>
      <w:tblStyleColBandSize w:val="1"/>
      <w:tblCellMar>
        <w:left w:w="115" w:type="dxa"/>
        <w:right w:w="115" w:type="dxa"/>
      </w:tblCellMar>
    </w:tblPr>
    <w:tcPr>
      <w:shd w:val="clear" w:color="auto" w:fill="auto"/>
      <w:vAlign w:val="center"/>
    </w:tcPr>
    <w:tblStylePr w:type="firstRow">
      <w:pPr>
        <w:keepNext w:val="0"/>
        <w:keepLines w:val="0"/>
        <w:widowControl w:val="0"/>
        <w:spacing w:before="0" w:after="0" w:line="240" w:lineRule="auto"/>
        <w:jc w:val="left"/>
      </w:pPr>
      <w:rPr>
        <w:rFonts w:ascii="Arial" w:eastAsia="Arial" w:hAnsi="Arial" w:cs="Arial"/>
        <w:b/>
        <w:color w:val="FFFFFF"/>
        <w:sz w:val="22"/>
        <w:szCs w:val="22"/>
      </w:rPr>
      <w:tblPr/>
      <w:tcPr>
        <w:tcBorders>
          <w:top w:val="single" w:sz="24" w:space="0" w:color="1F3864"/>
          <w:left w:val="single" w:sz="24" w:space="0" w:color="1F3864"/>
          <w:bottom w:val="single" w:sz="24" w:space="0" w:color="C00000"/>
          <w:right w:val="single" w:sz="24" w:space="0" w:color="1F3864"/>
          <w:insideH w:val="single" w:sz="24" w:space="0" w:color="1F3864"/>
          <w:insideV w:val="single" w:sz="24" w:space="0" w:color="1F3864"/>
        </w:tcBorders>
        <w:shd w:val="clear" w:color="auto" w:fill="1F3864"/>
      </w:tcPr>
    </w:tblStylePr>
    <w:tblStylePr w:type="lastRow">
      <w:pPr>
        <w:keepNext w:val="0"/>
        <w:keepLines w:val="0"/>
        <w:widowControl w:val="0"/>
        <w:spacing w:line="240" w:lineRule="auto"/>
      </w:pPr>
    </w:tblStylePr>
    <w:tblStylePr w:type="firstCol">
      <w:pPr>
        <w:keepNext w:val="0"/>
        <w:keepLines w:val="0"/>
        <w:widowControl w:val="0"/>
        <w:spacing w:before="0" w:after="0" w:line="240" w:lineRule="auto"/>
      </w:pPr>
      <w:rPr>
        <w:rFonts w:ascii="Arial" w:eastAsia="Arial" w:hAnsi="Arial" w:cs="Arial"/>
        <w:b/>
        <w:sz w:val="22"/>
        <w:szCs w:val="22"/>
      </w:rPr>
    </w:tblStylePr>
    <w:tblStylePr w:type="lastCol">
      <w:pPr>
        <w:keepNext w:val="0"/>
        <w:keepLines w:val="0"/>
        <w:widowControl w:val="0"/>
        <w:spacing w:line="240" w:lineRule="auto"/>
      </w:pPr>
    </w:tblStylePr>
    <w:tblStylePr w:type="band1Vert">
      <w:pPr>
        <w:keepNext w:val="0"/>
        <w:keepLines w:val="0"/>
        <w:widowControl w:val="0"/>
        <w:spacing w:before="192" w:after="192" w:line="240" w:lineRule="auto"/>
      </w:pPr>
      <w:rPr>
        <w:rFonts w:ascii="Arial" w:eastAsia="Arial" w:hAnsi="Arial" w:cs="Arial"/>
        <w:sz w:val="22"/>
        <w:szCs w:val="22"/>
      </w:rPr>
    </w:tblStylePr>
    <w:tblStylePr w:type="band2Vert">
      <w:pPr>
        <w:keepNext w:val="0"/>
        <w:keepLines w:val="0"/>
        <w:widowControl w:val="0"/>
        <w:spacing w:before="192" w:after="192" w:line="240" w:lineRule="auto"/>
      </w:pPr>
    </w:tblStylePr>
    <w:tblStylePr w:type="band1Horz">
      <w:pPr>
        <w:keepNext w:val="0"/>
        <w:keepLines w:val="0"/>
        <w:widowControl w:val="0"/>
        <w:spacing w:before="0" w:after="0" w:line="240" w:lineRule="auto"/>
      </w:p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tblStylePr w:type="band2Horz">
      <w:pPr>
        <w:keepNext w:val="0"/>
        <w:keepLines w:val="0"/>
        <w:widowControl w:val="0"/>
        <w:spacing w:before="0" w:after="0" w:line="240" w:lineRule="auto"/>
      </w:pPr>
      <w:rPr>
        <w:rFonts w:ascii="Arial" w:eastAsia="Arial" w:hAnsi="Arial" w:cs="Arial"/>
        <w:color w:val="000000"/>
        <w:sz w:val="22"/>
        <w:szCs w:val="22"/>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7E6E6"/>
      </w:tcPr>
    </w:tblStylePr>
    <w:tblStylePr w:type="neCell">
      <w:pPr>
        <w:keepNext w:val="0"/>
        <w:keepLines w:val="0"/>
        <w:widowControl w:val="0"/>
        <w:spacing w:before="192" w:after="192" w:line="240" w:lineRule="auto"/>
      </w:pPr>
    </w:tblStylePr>
    <w:tblStylePr w:type="nwCell">
      <w:pPr>
        <w:keepNext w:val="0"/>
        <w:keepLines w:val="0"/>
        <w:widowControl w:val="0"/>
        <w:spacing w:before="192" w:after="192" w:line="240" w:lineRule="auto"/>
      </w:pPr>
    </w:tblStylePr>
    <w:tblStylePr w:type="seCell">
      <w:pPr>
        <w:keepNext w:val="0"/>
        <w:keepLines w:val="0"/>
        <w:widowControl w:val="0"/>
        <w:spacing w:before="192" w:after="192" w:line="240" w:lineRule="auto"/>
      </w:pPr>
    </w:tblStylePr>
    <w:tblStylePr w:type="swCell">
      <w:pPr>
        <w:keepNext w:val="0"/>
        <w:keepLines w:val="0"/>
        <w:widowControl w:val="0"/>
        <w:spacing w:before="192" w:after="192" w:line="240" w:lineRule="auto"/>
      </w:pPr>
    </w:tblStylePr>
  </w:style>
  <w:style w:type="table" w:customStyle="1" w:styleId="a2">
    <w:basedOn w:val="TableNormal"/>
    <w:pPr>
      <w:widowControl w:val="0"/>
      <w:spacing w:before="80" w:after="80" w:line="240" w:lineRule="auto"/>
    </w:pPr>
    <w:rPr>
      <w:sz w:val="22"/>
      <w:szCs w:val="22"/>
    </w:rPr>
    <w:tblPr>
      <w:tblStyleRowBandSize w:val="1"/>
      <w:tblStyleColBandSize w:val="1"/>
      <w:tblCellMar>
        <w:left w:w="115" w:type="dxa"/>
        <w:right w:w="115" w:type="dxa"/>
      </w:tblCellMar>
    </w:tblPr>
    <w:tcPr>
      <w:shd w:val="clear" w:color="auto" w:fill="auto"/>
      <w:vAlign w:val="center"/>
    </w:tcPr>
    <w:tblStylePr w:type="firstRow">
      <w:pPr>
        <w:keepNext w:val="0"/>
        <w:keepLines w:val="0"/>
        <w:widowControl w:val="0"/>
        <w:spacing w:before="0" w:after="0" w:line="240" w:lineRule="auto"/>
        <w:jc w:val="left"/>
      </w:pPr>
      <w:rPr>
        <w:rFonts w:ascii="Arial" w:eastAsia="Arial" w:hAnsi="Arial" w:cs="Arial"/>
        <w:b/>
        <w:color w:val="FFFFFF"/>
        <w:sz w:val="22"/>
        <w:szCs w:val="22"/>
      </w:rPr>
      <w:tblPr/>
      <w:tcPr>
        <w:tcBorders>
          <w:top w:val="single" w:sz="24" w:space="0" w:color="1F3864"/>
          <w:left w:val="single" w:sz="24" w:space="0" w:color="1F3864"/>
          <w:bottom w:val="single" w:sz="24" w:space="0" w:color="C00000"/>
          <w:right w:val="single" w:sz="24" w:space="0" w:color="1F3864"/>
          <w:insideH w:val="single" w:sz="24" w:space="0" w:color="1F3864"/>
          <w:insideV w:val="single" w:sz="24" w:space="0" w:color="1F3864"/>
        </w:tcBorders>
        <w:shd w:val="clear" w:color="auto" w:fill="1F3864"/>
      </w:tcPr>
    </w:tblStylePr>
    <w:tblStylePr w:type="lastRow">
      <w:pPr>
        <w:keepNext w:val="0"/>
        <w:keepLines w:val="0"/>
        <w:widowControl w:val="0"/>
        <w:spacing w:line="240" w:lineRule="auto"/>
      </w:pPr>
    </w:tblStylePr>
    <w:tblStylePr w:type="firstCol">
      <w:pPr>
        <w:keepNext w:val="0"/>
        <w:keepLines w:val="0"/>
        <w:widowControl w:val="0"/>
        <w:spacing w:before="0" w:after="0" w:line="240" w:lineRule="auto"/>
      </w:pPr>
      <w:rPr>
        <w:rFonts w:ascii="Arial" w:eastAsia="Arial" w:hAnsi="Arial" w:cs="Arial"/>
        <w:b/>
        <w:sz w:val="22"/>
        <w:szCs w:val="22"/>
      </w:rPr>
    </w:tblStylePr>
    <w:tblStylePr w:type="lastCol">
      <w:pPr>
        <w:keepNext w:val="0"/>
        <w:keepLines w:val="0"/>
        <w:widowControl w:val="0"/>
        <w:spacing w:line="240" w:lineRule="auto"/>
      </w:pPr>
    </w:tblStylePr>
    <w:tblStylePr w:type="band1Vert">
      <w:pPr>
        <w:keepNext w:val="0"/>
        <w:keepLines w:val="0"/>
        <w:widowControl w:val="0"/>
        <w:spacing w:before="192" w:after="192" w:line="240" w:lineRule="auto"/>
      </w:pPr>
      <w:rPr>
        <w:rFonts w:ascii="Arial" w:eastAsia="Arial" w:hAnsi="Arial" w:cs="Arial"/>
        <w:sz w:val="22"/>
        <w:szCs w:val="22"/>
      </w:rPr>
    </w:tblStylePr>
    <w:tblStylePr w:type="band2Vert">
      <w:pPr>
        <w:keepNext w:val="0"/>
        <w:keepLines w:val="0"/>
        <w:widowControl w:val="0"/>
        <w:spacing w:before="192" w:after="192" w:line="240" w:lineRule="auto"/>
      </w:pPr>
    </w:tblStylePr>
    <w:tblStylePr w:type="band1Horz">
      <w:pPr>
        <w:keepNext w:val="0"/>
        <w:keepLines w:val="0"/>
        <w:widowControl w:val="0"/>
        <w:spacing w:before="0" w:after="0" w:line="240" w:lineRule="auto"/>
      </w:p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tblStylePr w:type="band2Horz">
      <w:pPr>
        <w:keepNext w:val="0"/>
        <w:keepLines w:val="0"/>
        <w:widowControl w:val="0"/>
        <w:spacing w:before="0" w:after="0" w:line="240" w:lineRule="auto"/>
      </w:pPr>
      <w:rPr>
        <w:rFonts w:ascii="Arial" w:eastAsia="Arial" w:hAnsi="Arial" w:cs="Arial"/>
        <w:color w:val="000000"/>
        <w:sz w:val="22"/>
        <w:szCs w:val="22"/>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7E6E6"/>
      </w:tcPr>
    </w:tblStylePr>
    <w:tblStylePr w:type="neCell">
      <w:pPr>
        <w:keepNext w:val="0"/>
        <w:keepLines w:val="0"/>
        <w:widowControl w:val="0"/>
        <w:spacing w:before="192" w:after="192" w:line="240" w:lineRule="auto"/>
      </w:pPr>
    </w:tblStylePr>
    <w:tblStylePr w:type="nwCell">
      <w:pPr>
        <w:keepNext w:val="0"/>
        <w:keepLines w:val="0"/>
        <w:widowControl w:val="0"/>
        <w:spacing w:before="192" w:after="192" w:line="240" w:lineRule="auto"/>
      </w:pPr>
    </w:tblStylePr>
    <w:tblStylePr w:type="seCell">
      <w:pPr>
        <w:keepNext w:val="0"/>
        <w:keepLines w:val="0"/>
        <w:widowControl w:val="0"/>
        <w:spacing w:before="192" w:after="192" w:line="240" w:lineRule="auto"/>
      </w:pPr>
    </w:tblStylePr>
    <w:tblStylePr w:type="swCell">
      <w:pPr>
        <w:keepNext w:val="0"/>
        <w:keepLines w:val="0"/>
        <w:widowControl w:val="0"/>
        <w:spacing w:before="192" w:after="192"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rmsafe.org.au/A-Guide-to-Improving-Safety" TargetMode="External"/><Relationship Id="rId13" Type="http://schemas.openxmlformats.org/officeDocument/2006/relationships/hyperlink" Target="https://www.betterhealth.vic.gov.au/health/HealthyLiving/farm-safety-risks-and-hazard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betterhealth.vic.gov.au/health/HealthyLiving/farm-safety-risks-and-hazards" TargetMode="External"/><Relationship Id="rId12" Type="http://schemas.openxmlformats.org/officeDocument/2006/relationships/hyperlink" Target="https://www.youtube.com/watch?v=mk_sjfJSr-w&amp;t=2s" TargetMode="External"/><Relationship Id="rId17" Type="http://schemas.openxmlformats.org/officeDocument/2006/relationships/hyperlink" Target="https://www.youtube.com/watch?v=mk_sjfJSr-w&amp;t=2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etterhealth.vic.gov.au/health/HealthyLiving/farm-safety-risks-and-hazard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rmsafe.org.au/A-Guide-to-Improving-Safet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mk_sjfJSr-w&amp;t=2s" TargetMode="External"/><Relationship Id="rId23" Type="http://schemas.openxmlformats.org/officeDocument/2006/relationships/footer" Target="footer3.xml"/><Relationship Id="rId10" Type="http://schemas.openxmlformats.org/officeDocument/2006/relationships/hyperlink" Target="https://www.betterhealth.vic.gov.au/health/HealthyLiving/farm-safety-risks-and-hazard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youtube.com/watch?v=mk_sjfJSr-w&amp;t=2s" TargetMode="External"/><Relationship Id="rId14" Type="http://schemas.openxmlformats.org/officeDocument/2006/relationships/hyperlink" Target="https://www.farmsafe.org.au/A-Guide-to-Improving-Safety"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2020-03-11T23:45:00Z</dcterms:created>
  <dcterms:modified xsi:type="dcterms:W3CDTF">2020-03-11T23:45:00Z</dcterms:modified>
</cp:coreProperties>
</file>