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967C" w14:textId="64CBDFBA" w:rsidR="00E73B23" w:rsidRDefault="00AB542B" w:rsidP="00AB542B">
      <w:pPr>
        <w:pStyle w:val="Heading1"/>
      </w:pPr>
      <w:r>
        <w:t>QDAI modelled examples</w:t>
      </w:r>
    </w:p>
    <w:p w14:paraId="102F15FF" w14:textId="57C06D7F" w:rsidR="00AB542B" w:rsidRDefault="00AB542B" w:rsidP="00AB542B">
      <w:pPr>
        <w:pStyle w:val="FeatureBox"/>
      </w:pPr>
      <w:r w:rsidRPr="001B799F">
        <w:rPr>
          <w:rStyle w:val="Strong"/>
        </w:rPr>
        <w:t>Purpose:</w:t>
      </w:r>
      <w:r>
        <w:t xml:space="preserve"> the modelled exam</w:t>
      </w:r>
      <w:r w:rsidR="00A15A69">
        <w:t>p</w:t>
      </w:r>
      <w:r>
        <w:t>les illustrate how to apply the QDAI framework to curriculum implementation initiatives.</w:t>
      </w:r>
    </w:p>
    <w:p w14:paraId="3A60A033" w14:textId="25377F64" w:rsidR="00AB542B" w:rsidRDefault="00AB542B" w:rsidP="00AB542B">
      <w:pPr>
        <w:pStyle w:val="Heading2"/>
      </w:pPr>
      <w:r>
        <w:t>School processes for professional learning and curriculum implementation</w:t>
      </w:r>
    </w:p>
    <w:p w14:paraId="5D80D744" w14:textId="56EE5595" w:rsidR="00AB542B" w:rsidRDefault="00AB542B" w:rsidP="00E73B23">
      <w:r w:rsidRPr="00AB542B">
        <w:rPr>
          <w:rStyle w:val="Strong"/>
        </w:rPr>
        <w:t>Initiative:</w:t>
      </w:r>
      <w:r>
        <w:t xml:space="preserve"> effective teaching practices for curriculum implementation</w:t>
      </w:r>
    </w:p>
    <w:p w14:paraId="5351F1B1" w14:textId="07A1FED4" w:rsidR="00AB542B" w:rsidRDefault="00AB542B" w:rsidP="00E73B23">
      <w:r w:rsidRPr="00AB542B">
        <w:rPr>
          <w:rStyle w:val="Strong"/>
        </w:rPr>
        <w:t>SEF:</w:t>
      </w:r>
      <w:r>
        <w:t xml:space="preserve"> Curriculum, Learning and Development, Data Skills and Use, Effective Classroom Practice</w:t>
      </w:r>
    </w:p>
    <w:p w14:paraId="2D0CF69A" w14:textId="427DF5B7" w:rsidR="00836DEE" w:rsidRDefault="00836DEE">
      <w:pPr>
        <w:spacing w:before="0" w:after="160" w:line="259" w:lineRule="auto"/>
      </w:pPr>
      <w:r>
        <w:br w:type="page"/>
      </w:r>
    </w:p>
    <w:p w14:paraId="4582E9B9" w14:textId="41A5DD34" w:rsidR="00C24EFE" w:rsidRDefault="00C24EFE" w:rsidP="00C24EFE">
      <w:pPr>
        <w:pStyle w:val="Caption"/>
      </w:pPr>
      <w:r>
        <w:lastRenderedPageBreak/>
        <w:t xml:space="preserve">Table </w:t>
      </w:r>
      <w:r>
        <w:fldChar w:fldCharType="begin"/>
      </w:r>
      <w:r>
        <w:instrText>SEQ Table \* ARABIC</w:instrText>
      </w:r>
      <w:r>
        <w:fldChar w:fldCharType="separate"/>
      </w:r>
      <w:r>
        <w:rPr>
          <w:noProof/>
        </w:rPr>
        <w:t>1</w:t>
      </w:r>
      <w:r>
        <w:fldChar w:fldCharType="end"/>
      </w:r>
      <w:r>
        <w:t xml:space="preserve"> – modelled example 1</w:t>
      </w:r>
    </w:p>
    <w:tbl>
      <w:tblPr>
        <w:tblStyle w:val="Tableheader"/>
        <w:tblW w:w="0" w:type="auto"/>
        <w:tblLook w:val="0420" w:firstRow="1" w:lastRow="0" w:firstColumn="0" w:lastColumn="0" w:noHBand="0" w:noVBand="1"/>
        <w:tblDescription w:val="QDAI modelled examples"/>
      </w:tblPr>
      <w:tblGrid>
        <w:gridCol w:w="2122"/>
        <w:gridCol w:w="3685"/>
        <w:gridCol w:w="4678"/>
        <w:gridCol w:w="4075"/>
      </w:tblGrid>
      <w:tr w:rsidR="00AB542B" w14:paraId="5FA031E7" w14:textId="77777777" w:rsidTr="23FA0A37">
        <w:trPr>
          <w:cnfStyle w:val="100000000000" w:firstRow="1" w:lastRow="0" w:firstColumn="0" w:lastColumn="0" w:oddVBand="0" w:evenVBand="0" w:oddHBand="0" w:evenHBand="0" w:firstRowFirstColumn="0" w:firstRowLastColumn="0" w:lastRowFirstColumn="0" w:lastRowLastColumn="0"/>
        </w:trPr>
        <w:tc>
          <w:tcPr>
            <w:tcW w:w="2122" w:type="dxa"/>
          </w:tcPr>
          <w:p w14:paraId="263BC462" w14:textId="2950C036" w:rsidR="00AB542B" w:rsidRDefault="00AB542B" w:rsidP="00E73B23">
            <w:r>
              <w:t>Q – Question</w:t>
            </w:r>
          </w:p>
        </w:tc>
        <w:tc>
          <w:tcPr>
            <w:tcW w:w="3685" w:type="dxa"/>
          </w:tcPr>
          <w:p w14:paraId="5DE9AFCD" w14:textId="42B17FDC" w:rsidR="00AB542B" w:rsidRDefault="00AB542B" w:rsidP="00E73B23">
            <w:r>
              <w:t>D – Data</w:t>
            </w:r>
          </w:p>
        </w:tc>
        <w:tc>
          <w:tcPr>
            <w:tcW w:w="4678" w:type="dxa"/>
          </w:tcPr>
          <w:p w14:paraId="690A4142" w14:textId="3331099E" w:rsidR="00AB542B" w:rsidRDefault="00AB542B" w:rsidP="00E73B23">
            <w:r>
              <w:t>A – Analysis</w:t>
            </w:r>
          </w:p>
        </w:tc>
        <w:tc>
          <w:tcPr>
            <w:tcW w:w="4075" w:type="dxa"/>
          </w:tcPr>
          <w:p w14:paraId="49766F7F" w14:textId="3117C645" w:rsidR="00AB542B" w:rsidRDefault="00AB542B" w:rsidP="00E73B23">
            <w:r>
              <w:t>I – Implications</w:t>
            </w:r>
          </w:p>
        </w:tc>
      </w:tr>
      <w:tr w:rsidR="00AB542B" w14:paraId="6F22C127" w14:textId="77777777" w:rsidTr="23FA0A37">
        <w:trPr>
          <w:cnfStyle w:val="000000100000" w:firstRow="0" w:lastRow="0" w:firstColumn="0" w:lastColumn="0" w:oddVBand="0" w:evenVBand="0" w:oddHBand="1" w:evenHBand="0" w:firstRowFirstColumn="0" w:firstRowLastColumn="0" w:lastRowFirstColumn="0" w:lastRowLastColumn="0"/>
        </w:trPr>
        <w:tc>
          <w:tcPr>
            <w:tcW w:w="2122" w:type="dxa"/>
          </w:tcPr>
          <w:p w14:paraId="1FA751CC" w14:textId="1B5BB128" w:rsidR="00AB542B" w:rsidRDefault="00C54DD4" w:rsidP="00E73B23">
            <w:r>
              <w:t>To what extent did the collaborative sessions develop staff understanding of the new curriculum?</w:t>
            </w:r>
          </w:p>
        </w:tc>
        <w:tc>
          <w:tcPr>
            <w:tcW w:w="3685" w:type="dxa"/>
          </w:tcPr>
          <w:p w14:paraId="29DC5FF8" w14:textId="3A7505B3" w:rsidR="00AB542B" w:rsidRDefault="00C54DD4" w:rsidP="00C54DD4">
            <w:pPr>
              <w:pStyle w:val="ListBullet"/>
            </w:pPr>
            <w:r>
              <w:t>Entry and exit slip survey data from collaborative PL sessions [Likert-scale, quantitative, self-report data]</w:t>
            </w:r>
            <w:r w:rsidR="009403CB">
              <w:t>.</w:t>
            </w:r>
          </w:p>
          <w:p w14:paraId="03D99264" w14:textId="164668D7" w:rsidR="00C54DD4" w:rsidRDefault="00C54DD4" w:rsidP="00C54DD4">
            <w:pPr>
              <w:pStyle w:val="ListBullet"/>
            </w:pPr>
            <w:r>
              <w:t>Brainstorm [qualitative data] ‘What are the barriers</w:t>
            </w:r>
            <w:r w:rsidR="005F503B">
              <w:t xml:space="preserve"> or </w:t>
            </w:r>
            <w:r>
              <w:t>enablers for staff to develop an understanding of the changes to the new curriculum?’</w:t>
            </w:r>
          </w:p>
          <w:p w14:paraId="70F9C1A5" w14:textId="3668721B" w:rsidR="00C54DD4" w:rsidRDefault="00C54DD4" w:rsidP="00C54DD4">
            <w:pPr>
              <w:pStyle w:val="ListBullet"/>
            </w:pPr>
            <w:r>
              <w:t>Focus group – sample of teachers across stage/faculties [qualitative data]</w:t>
            </w:r>
            <w:r w:rsidR="009403CB">
              <w:t>.</w:t>
            </w:r>
          </w:p>
        </w:tc>
        <w:tc>
          <w:tcPr>
            <w:tcW w:w="4678" w:type="dxa"/>
          </w:tcPr>
          <w:p w14:paraId="6CEBD996" w14:textId="68DCF8E6" w:rsidR="00C54DD4" w:rsidRDefault="7EC1CE94" w:rsidP="23FA0A37">
            <w:pPr>
              <w:pStyle w:val="ListBullet"/>
              <w:numPr>
                <w:ilvl w:val="0"/>
                <w:numId w:val="5"/>
              </w:numPr>
            </w:pPr>
            <w:r>
              <w:t>96% of staff contributed feedback (entry slips, 92% completed exit slips). Pre</w:t>
            </w:r>
            <w:r w:rsidR="68C3C24D">
              <w:t xml:space="preserve"> and </w:t>
            </w:r>
            <w:r>
              <w:t>post comparison showed an increase in understanding of the new curriculum (65% of responses moved from ‘limited’ understanding to ‘sound’ understanding). Confidence in understanding the requirements of the new curriculum increased for 58% of staff, with 75% rating themselves with ‘high’ confidence.</w:t>
            </w:r>
          </w:p>
          <w:p w14:paraId="2F0741E9" w14:textId="327A1C45" w:rsidR="00C54DD4" w:rsidRDefault="00C54DD4" w:rsidP="00AC42DC">
            <w:pPr>
              <w:pStyle w:val="ListBullet"/>
              <w:numPr>
                <w:ilvl w:val="0"/>
                <w:numId w:val="5"/>
              </w:numPr>
            </w:pPr>
            <w:r>
              <w:t>Brainstorm themes:</w:t>
            </w:r>
          </w:p>
          <w:p w14:paraId="44784935" w14:textId="032CD8AF" w:rsidR="00C54DD4" w:rsidRDefault="00153AED" w:rsidP="00153AED">
            <w:pPr>
              <w:pStyle w:val="ListBullet2"/>
            </w:pPr>
            <w:r>
              <w:t>l</w:t>
            </w:r>
            <w:r w:rsidR="00C54DD4">
              <w:t>ack of regular ‘new pedagogy’ discussions for some stage/faculty teams</w:t>
            </w:r>
          </w:p>
          <w:p w14:paraId="559D4D9F" w14:textId="048DA404" w:rsidR="00C54DD4" w:rsidRDefault="00153AED" w:rsidP="00153AED">
            <w:pPr>
              <w:pStyle w:val="ListBullet2"/>
            </w:pPr>
            <w:r>
              <w:t>c</w:t>
            </w:r>
            <w:r w:rsidR="00C54DD4">
              <w:t>urriculum agenda items about ‘reporting’ not collaborative discussion.</w:t>
            </w:r>
          </w:p>
          <w:p w14:paraId="0EB79EA9" w14:textId="64A80943" w:rsidR="00C54DD4" w:rsidRDefault="00C54DD4" w:rsidP="00AC42DC">
            <w:pPr>
              <w:pStyle w:val="ListBullet"/>
              <w:numPr>
                <w:ilvl w:val="0"/>
                <w:numId w:val="5"/>
              </w:numPr>
            </w:pPr>
            <w:r>
              <w:lastRenderedPageBreak/>
              <w:t>Focus group theme:</w:t>
            </w:r>
          </w:p>
          <w:p w14:paraId="3886BC2C" w14:textId="6B1AEAAC" w:rsidR="00AB542B" w:rsidRDefault="00153AED" w:rsidP="00153AED">
            <w:pPr>
              <w:pStyle w:val="ListBullet2"/>
            </w:pPr>
            <w:r>
              <w:t>i</w:t>
            </w:r>
            <w:r w:rsidR="00C54DD4">
              <w:t>nconsistency across stage/faculty re: inclusion of reflection sessions.</w:t>
            </w:r>
          </w:p>
        </w:tc>
        <w:tc>
          <w:tcPr>
            <w:tcW w:w="4075" w:type="dxa"/>
          </w:tcPr>
          <w:p w14:paraId="5450E8C2" w14:textId="5F23A30C" w:rsidR="00836DEE" w:rsidRDefault="00836DEE" w:rsidP="00AC42DC">
            <w:pPr>
              <w:pStyle w:val="ListBullet"/>
              <w:numPr>
                <w:ilvl w:val="0"/>
                <w:numId w:val="5"/>
              </w:numPr>
            </w:pPr>
            <w:r>
              <w:lastRenderedPageBreak/>
              <w:t>School executive collaborative planning sessions required to ensure consistent whole school processes.</w:t>
            </w:r>
          </w:p>
          <w:p w14:paraId="23EDA6BF" w14:textId="0EB6B307" w:rsidR="00AB542B" w:rsidRDefault="00836DEE" w:rsidP="00836DEE">
            <w:pPr>
              <w:pStyle w:val="ListBullet"/>
            </w:pPr>
            <w:r>
              <w:t xml:space="preserve">Exploration: Why did some leaders implement collaborative sessions and others did not? Is there opportunity to strengthen </w:t>
            </w:r>
            <w:hyperlink r:id="rId8" w:history="1">
              <w:r w:rsidRPr="00836DEE">
                <w:rPr>
                  <w:rStyle w:val="Hyperlink"/>
                </w:rPr>
                <w:t>collaborative inquiry</w:t>
              </w:r>
            </w:hyperlink>
            <w:r>
              <w:t xml:space="preserve"> in team meetings? How can a whole school </w:t>
            </w:r>
            <w:r w:rsidR="00537028">
              <w:t>s</w:t>
            </w:r>
            <w:r>
              <w:t>tructure</w:t>
            </w:r>
            <w:r w:rsidR="00537028">
              <w:t>/</w:t>
            </w:r>
            <w:r>
              <w:t>plan be developed to support changes to the new curriculum?</w:t>
            </w:r>
          </w:p>
        </w:tc>
      </w:tr>
    </w:tbl>
    <w:p w14:paraId="6F96C863" w14:textId="77777777" w:rsidR="00836DEE" w:rsidRDefault="00836DEE">
      <w:pPr>
        <w:spacing w:before="0" w:after="160" w:line="259" w:lineRule="auto"/>
      </w:pPr>
      <w:r>
        <w:br w:type="page"/>
      </w:r>
    </w:p>
    <w:p w14:paraId="717C008C" w14:textId="429EC46B" w:rsidR="00D74A07" w:rsidRDefault="00C24EFE" w:rsidP="00C24EFE">
      <w:pPr>
        <w:pStyle w:val="Caption"/>
      </w:pPr>
      <w:r>
        <w:lastRenderedPageBreak/>
        <w:t xml:space="preserve">Table </w:t>
      </w:r>
      <w:r>
        <w:fldChar w:fldCharType="begin"/>
      </w:r>
      <w:r>
        <w:instrText>SEQ Table \* ARABIC</w:instrText>
      </w:r>
      <w:r>
        <w:fldChar w:fldCharType="separate"/>
      </w:r>
      <w:r>
        <w:rPr>
          <w:noProof/>
        </w:rPr>
        <w:t>2</w:t>
      </w:r>
      <w:r>
        <w:fldChar w:fldCharType="end"/>
      </w:r>
      <w:r>
        <w:t xml:space="preserve"> – modelled example 2</w:t>
      </w:r>
    </w:p>
    <w:tbl>
      <w:tblPr>
        <w:tblStyle w:val="Tableheader"/>
        <w:tblW w:w="0" w:type="auto"/>
        <w:tblLook w:val="0420" w:firstRow="1" w:lastRow="0" w:firstColumn="0" w:lastColumn="0" w:noHBand="0" w:noVBand="1"/>
        <w:tblDescription w:val="QDAI modelled examples"/>
      </w:tblPr>
      <w:tblGrid>
        <w:gridCol w:w="2122"/>
        <w:gridCol w:w="3685"/>
        <w:gridCol w:w="4678"/>
        <w:gridCol w:w="4075"/>
      </w:tblGrid>
      <w:tr w:rsidR="00F600A1" w14:paraId="3819BD4A" w14:textId="77777777" w:rsidTr="008233B7">
        <w:trPr>
          <w:cnfStyle w:val="100000000000" w:firstRow="1" w:lastRow="0" w:firstColumn="0" w:lastColumn="0" w:oddVBand="0" w:evenVBand="0" w:oddHBand="0" w:evenHBand="0" w:firstRowFirstColumn="0" w:firstRowLastColumn="0" w:lastRowFirstColumn="0" w:lastRowLastColumn="0"/>
        </w:trPr>
        <w:tc>
          <w:tcPr>
            <w:tcW w:w="2122" w:type="dxa"/>
          </w:tcPr>
          <w:p w14:paraId="066C1BC1" w14:textId="77777777" w:rsidR="00F600A1" w:rsidRDefault="00F600A1" w:rsidP="008233B7">
            <w:r>
              <w:t>Q – Question</w:t>
            </w:r>
          </w:p>
        </w:tc>
        <w:tc>
          <w:tcPr>
            <w:tcW w:w="3685" w:type="dxa"/>
          </w:tcPr>
          <w:p w14:paraId="7C7180A5" w14:textId="7CB47B37" w:rsidR="00F600A1" w:rsidRDefault="00F600A1" w:rsidP="008233B7">
            <w:r>
              <w:t>D – Data</w:t>
            </w:r>
          </w:p>
        </w:tc>
        <w:tc>
          <w:tcPr>
            <w:tcW w:w="4678" w:type="dxa"/>
          </w:tcPr>
          <w:p w14:paraId="2961295D" w14:textId="77777777" w:rsidR="00F600A1" w:rsidRDefault="00F600A1" w:rsidP="008233B7">
            <w:r>
              <w:t>A – Analysis</w:t>
            </w:r>
          </w:p>
        </w:tc>
        <w:tc>
          <w:tcPr>
            <w:tcW w:w="4075" w:type="dxa"/>
          </w:tcPr>
          <w:p w14:paraId="0F7C8C29" w14:textId="77777777" w:rsidR="00F600A1" w:rsidRDefault="00F600A1" w:rsidP="008233B7">
            <w:r>
              <w:t>I – Implications</w:t>
            </w:r>
          </w:p>
        </w:tc>
      </w:tr>
      <w:tr w:rsidR="00F600A1" w14:paraId="11554D45" w14:textId="77777777" w:rsidTr="008233B7">
        <w:trPr>
          <w:cnfStyle w:val="000000100000" w:firstRow="0" w:lastRow="0" w:firstColumn="0" w:lastColumn="0" w:oddVBand="0" w:evenVBand="0" w:oddHBand="1" w:evenHBand="0" w:firstRowFirstColumn="0" w:firstRowLastColumn="0" w:lastRowFirstColumn="0" w:lastRowLastColumn="0"/>
        </w:trPr>
        <w:tc>
          <w:tcPr>
            <w:tcW w:w="2122" w:type="dxa"/>
          </w:tcPr>
          <w:p w14:paraId="4E7F82CB" w14:textId="4286C6B1" w:rsidR="00F600A1" w:rsidRDefault="00F600A1" w:rsidP="008233B7">
            <w:r w:rsidRPr="00F600A1">
              <w:t>To what extent did the collaborative sessions develop staff understanding of the changes to the English syllabus and how these will inform curriculum planning for literacy in Stage 4?</w:t>
            </w:r>
          </w:p>
        </w:tc>
        <w:tc>
          <w:tcPr>
            <w:tcW w:w="3685" w:type="dxa"/>
          </w:tcPr>
          <w:p w14:paraId="34E90316" w14:textId="32E7DAAE" w:rsidR="00F600A1" w:rsidRDefault="00F600A1" w:rsidP="00F600A1">
            <w:pPr>
              <w:pStyle w:val="ListBullet"/>
            </w:pPr>
            <w:r>
              <w:t>Entry and exit slip staff survey data from collaborative PL sessions [Likert-scale, quantitative, self-report data]</w:t>
            </w:r>
            <w:r w:rsidR="00B90063">
              <w:t>.</w:t>
            </w:r>
          </w:p>
          <w:p w14:paraId="6A282826" w14:textId="03BD0414" w:rsidR="00F600A1" w:rsidRDefault="00F600A1" w:rsidP="00F600A1">
            <w:pPr>
              <w:pStyle w:val="ListBullet"/>
            </w:pPr>
            <w:r>
              <w:t>Brainstorm [qualitative data]</w:t>
            </w:r>
            <w:r w:rsidR="00B90063">
              <w:t>.</w:t>
            </w:r>
          </w:p>
          <w:p w14:paraId="21992CBF" w14:textId="6E832172" w:rsidR="00F600A1" w:rsidRDefault="00F600A1" w:rsidP="00397047">
            <w:pPr>
              <w:ind w:left="567"/>
            </w:pPr>
            <w:r w:rsidRPr="00397047">
              <w:t>Q1</w:t>
            </w:r>
            <w:r>
              <w:t>: ‘What are the barriers/enablers for staff to develop an understanding of the changes to the English syllabus?’</w:t>
            </w:r>
          </w:p>
          <w:p w14:paraId="7D06E62A" w14:textId="1488D4AB" w:rsidR="00F600A1" w:rsidRDefault="00F600A1" w:rsidP="00397047">
            <w:pPr>
              <w:ind w:left="567"/>
            </w:pPr>
            <w:r>
              <w:t>Q2: ‘</w:t>
            </w:r>
            <w:r w:rsidRPr="00397047">
              <w:t>What</w:t>
            </w:r>
            <w:r>
              <w:t xml:space="preserve"> are the barriers/ enablers to inform curriculum planning for literacy across stage 4?’</w:t>
            </w:r>
          </w:p>
        </w:tc>
        <w:tc>
          <w:tcPr>
            <w:tcW w:w="4678" w:type="dxa"/>
          </w:tcPr>
          <w:p w14:paraId="0D9A91CC" w14:textId="0ECD17BF" w:rsidR="00F600A1" w:rsidRDefault="00F600A1" w:rsidP="00AC42DC">
            <w:pPr>
              <w:pStyle w:val="ListBullet"/>
              <w:numPr>
                <w:ilvl w:val="0"/>
                <w:numId w:val="6"/>
              </w:numPr>
              <w:contextualSpacing w:val="0"/>
            </w:pPr>
            <w:r>
              <w:t xml:space="preserve">100% of staff contributed feedback via entry slips and exit slips. Pre </w:t>
            </w:r>
            <w:r w:rsidR="00DD5A65">
              <w:t>and</w:t>
            </w:r>
            <w:r>
              <w:t xml:space="preserve"> post comparison showed an increase in understanding of the new curriculum (62% of responses moved from ‘moderate’ understanding to ‘deep’ understanding). Confidence in understanding the requirements of the new English syllabus to plan and program, increased for 80% of staff, with 85% rating themselves as having a ‘high’ level of confidence.</w:t>
            </w:r>
          </w:p>
          <w:p w14:paraId="7DD7EBD7" w14:textId="686CAB54" w:rsidR="00F600A1" w:rsidRDefault="00F600A1" w:rsidP="00AC42DC">
            <w:pPr>
              <w:pStyle w:val="ListBullet"/>
              <w:numPr>
                <w:ilvl w:val="0"/>
                <w:numId w:val="6"/>
              </w:numPr>
            </w:pPr>
            <w:r>
              <w:t>Brainstorm responses for Q1 indicated that collaborative discussion at the whole school PL session enabled deeper understanding of the English syllabus.</w:t>
            </w:r>
          </w:p>
          <w:p w14:paraId="064BA9E8" w14:textId="2FFD427B" w:rsidR="00F600A1" w:rsidRDefault="00F600A1" w:rsidP="00AC42DC">
            <w:pPr>
              <w:pStyle w:val="ListBullet"/>
              <w:numPr>
                <w:ilvl w:val="0"/>
                <w:numId w:val="6"/>
              </w:numPr>
            </w:pPr>
            <w:r>
              <w:lastRenderedPageBreak/>
              <w:t xml:space="preserve">Brainstorm responses for Q2 were varied across stages/faculties. XX faculty/stage </w:t>
            </w:r>
            <w:r w:rsidR="00DD5A65">
              <w:t xml:space="preserve">are </w:t>
            </w:r>
            <w:r>
              <w:t>not confident in their understanding on how to embed grammar skills into their programs. Inconsistency with post exit slip data.</w:t>
            </w:r>
          </w:p>
        </w:tc>
        <w:tc>
          <w:tcPr>
            <w:tcW w:w="4075" w:type="dxa"/>
          </w:tcPr>
          <w:p w14:paraId="1B8F53ED" w14:textId="251F0A6B" w:rsidR="00DD5A65" w:rsidRDefault="00DD5A65" w:rsidP="00AC42DC">
            <w:pPr>
              <w:pStyle w:val="ListBullet"/>
              <w:numPr>
                <w:ilvl w:val="0"/>
                <w:numId w:val="7"/>
              </w:numPr>
              <w:contextualSpacing w:val="0"/>
            </w:pPr>
            <w:r>
              <w:lastRenderedPageBreak/>
              <w:t>Continue collaborative whole-school PL sessions</w:t>
            </w:r>
            <w:r w:rsidR="002B36F5">
              <w:t>.</w:t>
            </w:r>
          </w:p>
          <w:p w14:paraId="64937221" w14:textId="32DF6577" w:rsidR="00DD5A65" w:rsidRDefault="00DD5A65" w:rsidP="00AC42DC">
            <w:pPr>
              <w:pStyle w:val="ListBullet"/>
              <w:numPr>
                <w:ilvl w:val="0"/>
                <w:numId w:val="7"/>
              </w:numPr>
            </w:pPr>
            <w:r>
              <w:t>Draft literacy implementation plan for Stage 4</w:t>
            </w:r>
            <w:r w:rsidR="002B36F5">
              <w:t>.</w:t>
            </w:r>
          </w:p>
          <w:p w14:paraId="078E3D53" w14:textId="5B4F4542" w:rsidR="00DD5A65" w:rsidRDefault="00DD5A65" w:rsidP="00AC42DC">
            <w:pPr>
              <w:pStyle w:val="ListBullet"/>
              <w:numPr>
                <w:ilvl w:val="0"/>
                <w:numId w:val="7"/>
              </w:numPr>
            </w:pPr>
            <w:r>
              <w:t>Additional PL sessions for XX faculty/stage team on grammar.</w:t>
            </w:r>
          </w:p>
          <w:p w14:paraId="69984328" w14:textId="7A5CF221" w:rsidR="00F600A1" w:rsidRDefault="00E32836" w:rsidP="00E32836">
            <w:pPr>
              <w:pStyle w:val="ListBullet"/>
              <w:numPr>
                <w:ilvl w:val="0"/>
                <w:numId w:val="7"/>
              </w:numPr>
            </w:pPr>
            <w:r>
              <w:t>School executive to consider identifying literacy leaders for each stage/faculty to guide literacy strategies for the new syllabus in Stage 4.</w:t>
            </w:r>
          </w:p>
        </w:tc>
      </w:tr>
    </w:tbl>
    <w:p w14:paraId="2E5B3E23" w14:textId="77777777" w:rsidR="00397047" w:rsidRDefault="00397047">
      <w:pPr>
        <w:spacing w:before="0" w:after="160" w:line="259" w:lineRule="auto"/>
      </w:pPr>
      <w:r>
        <w:br w:type="page"/>
      </w:r>
    </w:p>
    <w:p w14:paraId="7E2AB80F" w14:textId="6A6BEA22" w:rsidR="00D74A07" w:rsidRDefault="00C24EFE" w:rsidP="00C24EFE">
      <w:pPr>
        <w:pStyle w:val="Caption"/>
      </w:pPr>
      <w:r>
        <w:lastRenderedPageBreak/>
        <w:t xml:space="preserve">Table </w:t>
      </w:r>
      <w:r>
        <w:fldChar w:fldCharType="begin"/>
      </w:r>
      <w:r>
        <w:instrText>SEQ Table \* ARABIC</w:instrText>
      </w:r>
      <w:r>
        <w:fldChar w:fldCharType="separate"/>
      </w:r>
      <w:r>
        <w:rPr>
          <w:noProof/>
        </w:rPr>
        <w:t>3</w:t>
      </w:r>
      <w:r>
        <w:fldChar w:fldCharType="end"/>
      </w:r>
      <w:r>
        <w:t xml:space="preserve"> – modelled example 3</w:t>
      </w:r>
    </w:p>
    <w:tbl>
      <w:tblPr>
        <w:tblStyle w:val="Tableheader"/>
        <w:tblW w:w="0" w:type="auto"/>
        <w:tblLook w:val="0420" w:firstRow="1" w:lastRow="0" w:firstColumn="0" w:lastColumn="0" w:noHBand="0" w:noVBand="1"/>
        <w:tblDescription w:val="QDAI modelled examples"/>
      </w:tblPr>
      <w:tblGrid>
        <w:gridCol w:w="2122"/>
        <w:gridCol w:w="3685"/>
        <w:gridCol w:w="4678"/>
        <w:gridCol w:w="4075"/>
      </w:tblGrid>
      <w:tr w:rsidR="00397047" w14:paraId="7C796B87" w14:textId="77777777" w:rsidTr="23FA0A37">
        <w:trPr>
          <w:cnfStyle w:val="100000000000" w:firstRow="1" w:lastRow="0" w:firstColumn="0" w:lastColumn="0" w:oddVBand="0" w:evenVBand="0" w:oddHBand="0" w:evenHBand="0" w:firstRowFirstColumn="0" w:firstRowLastColumn="0" w:lastRowFirstColumn="0" w:lastRowLastColumn="0"/>
        </w:trPr>
        <w:tc>
          <w:tcPr>
            <w:tcW w:w="2122" w:type="dxa"/>
          </w:tcPr>
          <w:p w14:paraId="3302B84D" w14:textId="77777777" w:rsidR="00397047" w:rsidRDefault="00397047" w:rsidP="008233B7">
            <w:r>
              <w:t>Q – Question</w:t>
            </w:r>
          </w:p>
        </w:tc>
        <w:tc>
          <w:tcPr>
            <w:tcW w:w="3685" w:type="dxa"/>
          </w:tcPr>
          <w:p w14:paraId="0A653D9D" w14:textId="77777777" w:rsidR="00397047" w:rsidRDefault="00397047" w:rsidP="008233B7">
            <w:r>
              <w:t xml:space="preserve">D – Data </w:t>
            </w:r>
          </w:p>
        </w:tc>
        <w:tc>
          <w:tcPr>
            <w:tcW w:w="4678" w:type="dxa"/>
          </w:tcPr>
          <w:p w14:paraId="68F96921" w14:textId="77777777" w:rsidR="00397047" w:rsidRDefault="00397047" w:rsidP="008233B7">
            <w:r>
              <w:t>A – Analysis</w:t>
            </w:r>
          </w:p>
        </w:tc>
        <w:tc>
          <w:tcPr>
            <w:tcW w:w="4075" w:type="dxa"/>
          </w:tcPr>
          <w:p w14:paraId="43430090" w14:textId="77777777" w:rsidR="00397047" w:rsidRDefault="00397047" w:rsidP="008233B7">
            <w:r>
              <w:t>I – Implications</w:t>
            </w:r>
          </w:p>
        </w:tc>
      </w:tr>
      <w:tr w:rsidR="00397047" w14:paraId="769C8502" w14:textId="77777777" w:rsidTr="23FA0A37">
        <w:trPr>
          <w:cnfStyle w:val="000000100000" w:firstRow="0" w:lastRow="0" w:firstColumn="0" w:lastColumn="0" w:oddVBand="0" w:evenVBand="0" w:oddHBand="1" w:evenHBand="0" w:firstRowFirstColumn="0" w:firstRowLastColumn="0" w:lastRowFirstColumn="0" w:lastRowLastColumn="0"/>
        </w:trPr>
        <w:tc>
          <w:tcPr>
            <w:tcW w:w="2122" w:type="dxa"/>
          </w:tcPr>
          <w:p w14:paraId="591F045D" w14:textId="6E567DAD" w:rsidR="00397047" w:rsidRDefault="00397047" w:rsidP="008233B7">
            <w:r w:rsidRPr="00397047">
              <w:t xml:space="preserve">To what extent did collaborative sessions to explore, </w:t>
            </w:r>
            <w:hyperlink r:id="rId9" w:history="1">
              <w:r w:rsidRPr="00432C8D">
                <w:rPr>
                  <w:rStyle w:val="Hyperlink"/>
                </w:rPr>
                <w:t>Curriculum planning for every student in every classroom (AC00180)</w:t>
              </w:r>
            </w:hyperlink>
            <w:r w:rsidRPr="00397047">
              <w:t>, develop staff understanding of curriculum planning to optimise learning for the full range of students?</w:t>
            </w:r>
          </w:p>
        </w:tc>
        <w:tc>
          <w:tcPr>
            <w:tcW w:w="3685" w:type="dxa"/>
          </w:tcPr>
          <w:p w14:paraId="5F37E089" w14:textId="08B2D996" w:rsidR="00432C8D" w:rsidRPr="00432C8D" w:rsidRDefault="00432C8D" w:rsidP="00432C8D">
            <w:pPr>
              <w:pStyle w:val="ListBullet"/>
            </w:pPr>
            <w:r w:rsidRPr="00432C8D">
              <w:t xml:space="preserve">Entry and exit slip staff survey data from collaborative PL sessions </w:t>
            </w:r>
            <w:r>
              <w:t>[</w:t>
            </w:r>
            <w:r w:rsidRPr="00432C8D">
              <w:t>Likert-scale, quantitative, self-report data</w:t>
            </w:r>
            <w:r>
              <w:t>]</w:t>
            </w:r>
          </w:p>
          <w:p w14:paraId="7DADDD2E" w14:textId="1D29D420" w:rsidR="00432C8D" w:rsidRPr="00432C8D" w:rsidRDefault="00432C8D" w:rsidP="00432C8D">
            <w:pPr>
              <w:pStyle w:val="ListBullet"/>
            </w:pPr>
            <w:r w:rsidRPr="00432C8D">
              <w:t xml:space="preserve">Follow up survey to identify future PL </w:t>
            </w:r>
            <w:r>
              <w:t>[</w:t>
            </w:r>
            <w:r w:rsidRPr="00432C8D">
              <w:t>Likert-scale, quantitative/qualitative data</w:t>
            </w:r>
            <w:r>
              <w:t>]</w:t>
            </w:r>
          </w:p>
          <w:p w14:paraId="297EBD97" w14:textId="37C23AAE" w:rsidR="00397047" w:rsidRPr="00432C8D" w:rsidRDefault="00432C8D" w:rsidP="00432C8D">
            <w:pPr>
              <w:pStyle w:val="ListBullet"/>
            </w:pPr>
            <w:r w:rsidRPr="00432C8D">
              <w:t xml:space="preserve">Student background data </w:t>
            </w:r>
            <w:r>
              <w:t>[</w:t>
            </w:r>
            <w:r w:rsidRPr="00432C8D">
              <w:t>SCOUT/Sentral student data</w:t>
            </w:r>
            <w:r>
              <w:t>]</w:t>
            </w:r>
          </w:p>
        </w:tc>
        <w:tc>
          <w:tcPr>
            <w:tcW w:w="4678" w:type="dxa"/>
          </w:tcPr>
          <w:p w14:paraId="2367037A" w14:textId="6E3E2A67" w:rsidR="00432C8D" w:rsidRDefault="00432C8D" w:rsidP="00F14300">
            <w:pPr>
              <w:pStyle w:val="ListBullet"/>
              <w:numPr>
                <w:ilvl w:val="0"/>
                <w:numId w:val="8"/>
              </w:numPr>
              <w:contextualSpacing w:val="0"/>
            </w:pPr>
            <w:r>
              <w:t>Entry slips identified 70% of staff required additional support to plan for the full range of students in their class(es); 30% of staff were confident planning for the full range of students.</w:t>
            </w:r>
          </w:p>
          <w:p w14:paraId="41FD321E" w14:textId="5787A511" w:rsidR="00432C8D" w:rsidRDefault="00432C8D" w:rsidP="00F14300">
            <w:pPr>
              <w:pStyle w:val="ListBullet"/>
              <w:numPr>
                <w:ilvl w:val="0"/>
                <w:numId w:val="8"/>
              </w:numPr>
            </w:pPr>
            <w:r>
              <w:t>Pre and post comparison of staff confidence to plan for the full range of students increased to 65%.</w:t>
            </w:r>
          </w:p>
          <w:p w14:paraId="297877BA" w14:textId="297FC341" w:rsidR="00432C8D" w:rsidRDefault="00432C8D" w:rsidP="00F14300">
            <w:pPr>
              <w:pStyle w:val="ListBullet"/>
              <w:numPr>
                <w:ilvl w:val="0"/>
                <w:numId w:val="8"/>
              </w:numPr>
            </w:pPr>
            <w:r>
              <w:t>Exit slips showed 85% of staff were confident to apply learning; 70% felt there were actionable strategies in the PL.</w:t>
            </w:r>
          </w:p>
          <w:p w14:paraId="564A4855" w14:textId="055902C3" w:rsidR="00397047" w:rsidRDefault="00432C8D" w:rsidP="00F14300">
            <w:pPr>
              <w:pStyle w:val="ListBullet"/>
              <w:numPr>
                <w:ilvl w:val="0"/>
                <w:numId w:val="8"/>
              </w:numPr>
            </w:pPr>
            <w:r>
              <w:t>Follow up survey identified 25% of staff lacked confidence to plan for specific student cohorts.</w:t>
            </w:r>
          </w:p>
        </w:tc>
        <w:tc>
          <w:tcPr>
            <w:tcW w:w="4075" w:type="dxa"/>
          </w:tcPr>
          <w:p w14:paraId="3E8BDD87" w14:textId="1D5F6AC5" w:rsidR="00432C8D" w:rsidRDefault="00432C8D" w:rsidP="00F14300">
            <w:pPr>
              <w:pStyle w:val="ListBullet"/>
              <w:numPr>
                <w:ilvl w:val="0"/>
                <w:numId w:val="9"/>
              </w:numPr>
              <w:contextualSpacing w:val="0"/>
            </w:pPr>
            <w:r>
              <w:t>PL sessions to focus on modules for specific student cohorts.</w:t>
            </w:r>
          </w:p>
          <w:p w14:paraId="16BE6767" w14:textId="73C1C178" w:rsidR="00432C8D" w:rsidRDefault="00432C8D" w:rsidP="00F14300">
            <w:pPr>
              <w:pStyle w:val="ListBullet"/>
              <w:numPr>
                <w:ilvl w:val="0"/>
                <w:numId w:val="9"/>
              </w:numPr>
            </w:pPr>
            <w:r>
              <w:t xml:space="preserve">School leadership team to plan PL sessions to explore the evidence base for </w:t>
            </w:r>
            <w:hyperlink r:id="rId10" w:history="1">
              <w:r w:rsidRPr="00C20114">
                <w:rPr>
                  <w:rStyle w:val="Hyperlink"/>
                </w:rPr>
                <w:t>Curriculum planning for every student in every classroom</w:t>
              </w:r>
            </w:hyperlink>
            <w:r w:rsidR="00C20114">
              <w:t>.</w:t>
            </w:r>
          </w:p>
          <w:p w14:paraId="5FD4826D" w14:textId="04A85A0E" w:rsidR="00397047" w:rsidRPr="00432C8D" w:rsidRDefault="00432C8D" w:rsidP="00F14300">
            <w:pPr>
              <w:pStyle w:val="ListBullet"/>
              <w:numPr>
                <w:ilvl w:val="0"/>
                <w:numId w:val="9"/>
              </w:numPr>
            </w:pPr>
            <w:r w:rsidRPr="00432C8D">
              <w:t xml:space="preserve">School leadership team plan a SIP initiative to enhance equitable outcomes for students by reflecting on the </w:t>
            </w:r>
            <w:r w:rsidR="007C4C43">
              <w:t>‘</w:t>
            </w:r>
            <w:r w:rsidRPr="00432C8D">
              <w:t>Leading for equity in student outcomes</w:t>
            </w:r>
            <w:r w:rsidR="007C4C43">
              <w:t>’</w:t>
            </w:r>
            <w:r w:rsidRPr="00432C8D">
              <w:t xml:space="preserve"> research thread in the Leading Collaboration for School Improvement </w:t>
            </w:r>
            <w:hyperlink r:id="rId11" w:history="1">
              <w:r w:rsidRPr="00432C8D">
                <w:rPr>
                  <w:rStyle w:val="Hyperlink"/>
                </w:rPr>
                <w:t>Toolkit</w:t>
              </w:r>
            </w:hyperlink>
            <w:r w:rsidRPr="00432C8D">
              <w:t>.</w:t>
            </w:r>
          </w:p>
        </w:tc>
      </w:tr>
    </w:tbl>
    <w:p w14:paraId="494868D1" w14:textId="77777777" w:rsidR="009D17DE" w:rsidRDefault="009D17DE" w:rsidP="00E73B23">
      <w:pPr>
        <w:sectPr w:rsidR="009D17DE" w:rsidSect="00836DEE">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pgNumType w:start="1"/>
          <w:cols w:space="708"/>
          <w:titlePg/>
          <w:docGrid w:linePitch="360"/>
        </w:sectPr>
      </w:pPr>
    </w:p>
    <w:p w14:paraId="66CBCB49" w14:textId="77777777" w:rsidR="009D17DE" w:rsidRPr="00A43D4D" w:rsidRDefault="009D17DE" w:rsidP="009D17DE">
      <w:pPr>
        <w:spacing w:line="25" w:lineRule="atLeast"/>
        <w:rPr>
          <w:rStyle w:val="Strong"/>
        </w:rPr>
      </w:pPr>
      <w:r w:rsidRPr="00A43D4D">
        <w:rPr>
          <w:rStyle w:val="Strong"/>
        </w:rPr>
        <w:lastRenderedPageBreak/>
        <w:t>© State of New South Wales (Department of Education), 2023</w:t>
      </w:r>
    </w:p>
    <w:p w14:paraId="3342AC6D" w14:textId="77777777" w:rsidR="009D17DE" w:rsidRDefault="009D17DE" w:rsidP="009D17DE">
      <w:pPr>
        <w:spacing w:line="300" w:lineRule="auto"/>
      </w:pPr>
      <w:r>
        <w:t>The copyright material published in this resource is subject to the Copyright Act 1968 (Cth) and is owned by the NSW Department of Education or, where indicated, by a party other than the NSW Department of Education (third-party material).</w:t>
      </w:r>
    </w:p>
    <w:p w14:paraId="1FDDA392" w14:textId="77777777" w:rsidR="009D17DE" w:rsidRDefault="009D17DE" w:rsidP="009D17DE">
      <w:pPr>
        <w:spacing w:line="300" w:lineRule="auto"/>
      </w:pPr>
      <w:r>
        <w:t xml:space="preserve">Copyright material available in this resource and owned by the NSW Department of Education is licensed under a </w:t>
      </w:r>
      <w:hyperlink r:id="rId18" w:history="1">
        <w:r>
          <w:rPr>
            <w:rStyle w:val="Hyperlink"/>
          </w:rPr>
          <w:t>Creative Commons Attribution 4.0 International (CC BY 4.0) license</w:t>
        </w:r>
      </w:hyperlink>
      <w:r>
        <w:t>.</w:t>
      </w:r>
    </w:p>
    <w:p w14:paraId="14D8E6F1" w14:textId="77777777" w:rsidR="009D17DE" w:rsidRDefault="009D17DE" w:rsidP="009D17DE">
      <w:pPr>
        <w:spacing w:line="300" w:lineRule="auto"/>
      </w:pPr>
      <w:r>
        <w:rPr>
          <w:noProof/>
        </w:rPr>
        <w:drawing>
          <wp:inline distT="0" distB="0" distL="0" distR="0" wp14:anchorId="1EBA6A22" wp14:editId="6F060585">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020694A" w14:textId="77777777" w:rsidR="009D17DE" w:rsidRDefault="009D17DE" w:rsidP="009D17DE">
      <w:pPr>
        <w:spacing w:line="300" w:lineRule="auto"/>
      </w:pPr>
      <w:r>
        <w:t>This license allows you to share and adapt the material for any purpose, even commercially.</w:t>
      </w:r>
    </w:p>
    <w:p w14:paraId="56742F7F" w14:textId="77777777" w:rsidR="009D17DE" w:rsidRDefault="009D17DE" w:rsidP="009D17DE">
      <w:pPr>
        <w:spacing w:line="300" w:lineRule="auto"/>
      </w:pPr>
      <w:r>
        <w:t>Attribution should be given to © State of New South Wales (Department of Education), 2023.</w:t>
      </w:r>
    </w:p>
    <w:p w14:paraId="424EFF64" w14:textId="77777777" w:rsidR="009D17DE" w:rsidRDefault="009D17DE" w:rsidP="009D17DE">
      <w:pPr>
        <w:spacing w:line="300" w:lineRule="auto"/>
      </w:pPr>
      <w:r>
        <w:t>Material in this resource not available under a Creative Commons license:</w:t>
      </w:r>
    </w:p>
    <w:p w14:paraId="6BA87A83" w14:textId="77777777" w:rsidR="009D17DE" w:rsidRDefault="009D17DE" w:rsidP="00F14300">
      <w:pPr>
        <w:pStyle w:val="ListBullet"/>
        <w:numPr>
          <w:ilvl w:val="0"/>
          <w:numId w:val="9"/>
        </w:numPr>
        <w:spacing w:line="300" w:lineRule="auto"/>
      </w:pPr>
      <w:r>
        <w:t>the NSW Department of Education logo, other logos and trademark-protected material</w:t>
      </w:r>
    </w:p>
    <w:p w14:paraId="3970F5F7" w14:textId="77777777" w:rsidR="009D17DE" w:rsidRDefault="009D17DE" w:rsidP="00F14300">
      <w:pPr>
        <w:pStyle w:val="ListBullet"/>
        <w:numPr>
          <w:ilvl w:val="0"/>
          <w:numId w:val="9"/>
        </w:numPr>
        <w:spacing w:line="300" w:lineRule="auto"/>
      </w:pPr>
      <w:r>
        <w:t>material owned by a third party that has been reproduced with permission. You will need to obtain permission from the third party to reuse its material.</w:t>
      </w:r>
    </w:p>
    <w:p w14:paraId="3D98E0AB" w14:textId="77777777" w:rsidR="009D17DE" w:rsidRPr="004C3763" w:rsidRDefault="009D17DE" w:rsidP="009D17DE">
      <w:pPr>
        <w:pStyle w:val="FeatureBox2"/>
        <w:spacing w:line="30" w:lineRule="atLeast"/>
        <w:rPr>
          <w:rStyle w:val="Strong"/>
        </w:rPr>
      </w:pPr>
      <w:r w:rsidRPr="004C3763">
        <w:rPr>
          <w:rStyle w:val="Strong"/>
        </w:rPr>
        <w:t>Links to third-party material and websites</w:t>
      </w:r>
    </w:p>
    <w:p w14:paraId="2CEFD517" w14:textId="77777777" w:rsidR="009D17DE" w:rsidRDefault="009D17DE" w:rsidP="009D17DE">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1EF84ED" w14:textId="6F35C58D" w:rsidR="00AB542B" w:rsidRPr="00E73B23" w:rsidRDefault="009D17DE" w:rsidP="009D17DE">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AB542B" w:rsidRPr="00E73B23" w:rsidSect="00D2403C">
      <w:headerReference w:type="first" r:id="rId20"/>
      <w:footerReference w:type="first" r:id="rId2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2763" w14:textId="77777777" w:rsidR="00487382" w:rsidRDefault="00487382" w:rsidP="00E51733">
      <w:r>
        <w:separator/>
      </w:r>
    </w:p>
  </w:endnote>
  <w:endnote w:type="continuationSeparator" w:id="0">
    <w:p w14:paraId="797304B4" w14:textId="77777777" w:rsidR="00487382" w:rsidRDefault="00487382" w:rsidP="00E51733">
      <w:r>
        <w:continuationSeparator/>
      </w:r>
    </w:p>
  </w:endnote>
  <w:endnote w:type="continuationNotice" w:id="1">
    <w:p w14:paraId="27D01E2E" w14:textId="77777777" w:rsidR="00487382" w:rsidRDefault="004873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4370" w14:textId="23810923"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9A6801">
      <w:rPr>
        <w:noProof/>
      </w:rPr>
      <w:t>Aug-23</w:t>
    </w:r>
    <w:r w:rsidRPr="00491389">
      <w:fldChar w:fldCharType="end"/>
    </w:r>
    <w:r w:rsidRPr="00491389">
      <w:ptab w:relativeTo="margin" w:alignment="right" w:leader="none"/>
    </w:r>
    <w:r w:rsidR="004E1043">
      <w:rPr>
        <w:b/>
        <w:noProof/>
        <w:sz w:val="28"/>
        <w:szCs w:val="28"/>
      </w:rPr>
      <w:drawing>
        <wp:inline distT="0" distB="0" distL="0" distR="0" wp14:anchorId="1F6F3E0F" wp14:editId="09AC80A5">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50DD" w14:textId="448DD19F"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9A6801">
      <w:rPr>
        <w:noProof/>
      </w:rPr>
      <w:t>Aug-23</w:t>
    </w:r>
    <w:r>
      <w:fldChar w:fldCharType="end"/>
    </w:r>
    <w:r>
      <w:ptab w:relativeTo="margin" w:alignment="right" w:leader="none"/>
    </w:r>
    <w:r>
      <w:rPr>
        <w:b/>
        <w:noProof/>
        <w:sz w:val="28"/>
        <w:szCs w:val="28"/>
      </w:rPr>
      <w:drawing>
        <wp:inline distT="0" distB="0" distL="0" distR="0" wp14:anchorId="39D00073" wp14:editId="7BAE12B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283F" w14:textId="77777777" w:rsidR="008233B7"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010051D" wp14:editId="61A10A44">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270B" w14:textId="77777777" w:rsidR="008233B7" w:rsidRPr="004C3763" w:rsidRDefault="008233B7" w:rsidP="0082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1D0C" w14:textId="77777777" w:rsidR="00487382" w:rsidRDefault="00487382" w:rsidP="00E51733">
      <w:r>
        <w:separator/>
      </w:r>
    </w:p>
  </w:footnote>
  <w:footnote w:type="continuationSeparator" w:id="0">
    <w:p w14:paraId="28611F72" w14:textId="77777777" w:rsidR="00487382" w:rsidRDefault="00487382" w:rsidP="00E51733">
      <w:r>
        <w:continuationSeparator/>
      </w:r>
    </w:p>
  </w:footnote>
  <w:footnote w:type="continuationNotice" w:id="1">
    <w:p w14:paraId="6C811CB8" w14:textId="77777777" w:rsidR="00487382" w:rsidRDefault="0048738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96E"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81FD" w14:textId="0A87331B" w:rsidR="00D2403C" w:rsidRDefault="00836DEE" w:rsidP="00D2403C">
    <w:pPr>
      <w:pStyle w:val="Documentname"/>
    </w:pPr>
    <w:r>
      <w:t xml:space="preserve">QDAI modelled examples </w:t>
    </w:r>
    <w:r w:rsidR="00D2403C" w:rsidRPr="00D2403C">
      <w:t xml:space="preserve">|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D725" w14:textId="77777777" w:rsidR="008233B7"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B8C" w14:textId="77777777" w:rsidR="008233B7" w:rsidRPr="005C0AEA" w:rsidRDefault="008233B7" w:rsidP="008233B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C04B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C2182"/>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2D374D"/>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A06204"/>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AF553D"/>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6912C7"/>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318311843">
    <w:abstractNumId w:val="2"/>
  </w:num>
  <w:num w:numId="3" w16cid:durableId="7112613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9"/>
  </w:num>
  <w:num w:numId="5" w16cid:durableId="1052728277">
    <w:abstractNumId w:val="1"/>
  </w:num>
  <w:num w:numId="6" w16cid:durableId="2022467921">
    <w:abstractNumId w:val="4"/>
  </w:num>
  <w:num w:numId="7" w16cid:durableId="1042441368">
    <w:abstractNumId w:val="7"/>
  </w:num>
  <w:num w:numId="8" w16cid:durableId="857425143">
    <w:abstractNumId w:val="3"/>
  </w:num>
  <w:num w:numId="9" w16cid:durableId="172183578">
    <w:abstractNumId w:val="8"/>
  </w:num>
  <w:num w:numId="10" w16cid:durableId="197401655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B"/>
    <w:rsid w:val="00013FF2"/>
    <w:rsid w:val="000252CB"/>
    <w:rsid w:val="00045F0D"/>
    <w:rsid w:val="0004750C"/>
    <w:rsid w:val="00047862"/>
    <w:rsid w:val="00054D26"/>
    <w:rsid w:val="00061D5B"/>
    <w:rsid w:val="00074F0F"/>
    <w:rsid w:val="000C1B93"/>
    <w:rsid w:val="000C24ED"/>
    <w:rsid w:val="000D3BBE"/>
    <w:rsid w:val="000D7466"/>
    <w:rsid w:val="00112528"/>
    <w:rsid w:val="00153AED"/>
    <w:rsid w:val="00153D13"/>
    <w:rsid w:val="0017408C"/>
    <w:rsid w:val="00190C6F"/>
    <w:rsid w:val="001A2D64"/>
    <w:rsid w:val="001A3009"/>
    <w:rsid w:val="001B799F"/>
    <w:rsid w:val="001C7E97"/>
    <w:rsid w:val="001D5230"/>
    <w:rsid w:val="001E103F"/>
    <w:rsid w:val="001F2D78"/>
    <w:rsid w:val="002046EB"/>
    <w:rsid w:val="002105AD"/>
    <w:rsid w:val="00241D09"/>
    <w:rsid w:val="0025592F"/>
    <w:rsid w:val="0026548C"/>
    <w:rsid w:val="00266207"/>
    <w:rsid w:val="0027370C"/>
    <w:rsid w:val="002A28B4"/>
    <w:rsid w:val="002A2B8C"/>
    <w:rsid w:val="002A35CF"/>
    <w:rsid w:val="002A475D"/>
    <w:rsid w:val="002B36F5"/>
    <w:rsid w:val="002B50F2"/>
    <w:rsid w:val="002F7CFE"/>
    <w:rsid w:val="00303085"/>
    <w:rsid w:val="00306C23"/>
    <w:rsid w:val="00340DD9"/>
    <w:rsid w:val="00351BBE"/>
    <w:rsid w:val="00360E17"/>
    <w:rsid w:val="0036209C"/>
    <w:rsid w:val="00385DFB"/>
    <w:rsid w:val="00397047"/>
    <w:rsid w:val="003A5190"/>
    <w:rsid w:val="003B240E"/>
    <w:rsid w:val="003D13EF"/>
    <w:rsid w:val="00400ACE"/>
    <w:rsid w:val="00401084"/>
    <w:rsid w:val="00407EF0"/>
    <w:rsid w:val="00410084"/>
    <w:rsid w:val="00412F2B"/>
    <w:rsid w:val="004178B3"/>
    <w:rsid w:val="00430F12"/>
    <w:rsid w:val="00432C8D"/>
    <w:rsid w:val="004409F0"/>
    <w:rsid w:val="004662AB"/>
    <w:rsid w:val="00480185"/>
    <w:rsid w:val="0048642E"/>
    <w:rsid w:val="00487382"/>
    <w:rsid w:val="00491389"/>
    <w:rsid w:val="004B484F"/>
    <w:rsid w:val="004C11A9"/>
    <w:rsid w:val="004E1043"/>
    <w:rsid w:val="004E2593"/>
    <w:rsid w:val="004F48DD"/>
    <w:rsid w:val="004F6AF2"/>
    <w:rsid w:val="00511863"/>
    <w:rsid w:val="00526795"/>
    <w:rsid w:val="00537028"/>
    <w:rsid w:val="00541FBB"/>
    <w:rsid w:val="005608F0"/>
    <w:rsid w:val="005649D2"/>
    <w:rsid w:val="0058102D"/>
    <w:rsid w:val="00583731"/>
    <w:rsid w:val="005934B4"/>
    <w:rsid w:val="00597644"/>
    <w:rsid w:val="005A34D4"/>
    <w:rsid w:val="005A67CA"/>
    <w:rsid w:val="005B184F"/>
    <w:rsid w:val="005B77E0"/>
    <w:rsid w:val="005C14A7"/>
    <w:rsid w:val="005D0140"/>
    <w:rsid w:val="005D49FE"/>
    <w:rsid w:val="005E1F63"/>
    <w:rsid w:val="005F49D6"/>
    <w:rsid w:val="005F503B"/>
    <w:rsid w:val="00626BBF"/>
    <w:rsid w:val="0063525D"/>
    <w:rsid w:val="0064273E"/>
    <w:rsid w:val="00643CC4"/>
    <w:rsid w:val="00677835"/>
    <w:rsid w:val="00680388"/>
    <w:rsid w:val="0069617A"/>
    <w:rsid w:val="00696410"/>
    <w:rsid w:val="006A3884"/>
    <w:rsid w:val="006B3488"/>
    <w:rsid w:val="006D00B0"/>
    <w:rsid w:val="006D1CF3"/>
    <w:rsid w:val="006E54D3"/>
    <w:rsid w:val="006F1CF4"/>
    <w:rsid w:val="00717237"/>
    <w:rsid w:val="00742F2F"/>
    <w:rsid w:val="007564F8"/>
    <w:rsid w:val="00761B84"/>
    <w:rsid w:val="00766D19"/>
    <w:rsid w:val="00767CA4"/>
    <w:rsid w:val="00777A17"/>
    <w:rsid w:val="007B020C"/>
    <w:rsid w:val="007B523A"/>
    <w:rsid w:val="007C4C43"/>
    <w:rsid w:val="007C5D33"/>
    <w:rsid w:val="007C61E6"/>
    <w:rsid w:val="007E20E5"/>
    <w:rsid w:val="007F066A"/>
    <w:rsid w:val="007F6BE6"/>
    <w:rsid w:val="0080248A"/>
    <w:rsid w:val="00804F58"/>
    <w:rsid w:val="008073B1"/>
    <w:rsid w:val="008233B7"/>
    <w:rsid w:val="00836DEE"/>
    <w:rsid w:val="008559F3"/>
    <w:rsid w:val="00856CA3"/>
    <w:rsid w:val="00865BC1"/>
    <w:rsid w:val="0087496A"/>
    <w:rsid w:val="00890EEE"/>
    <w:rsid w:val="0089316E"/>
    <w:rsid w:val="008A4CF6"/>
    <w:rsid w:val="008D5C37"/>
    <w:rsid w:val="008E3DE9"/>
    <w:rsid w:val="008E4E66"/>
    <w:rsid w:val="009107ED"/>
    <w:rsid w:val="009138BF"/>
    <w:rsid w:val="00921FDC"/>
    <w:rsid w:val="0093679E"/>
    <w:rsid w:val="009403CB"/>
    <w:rsid w:val="00941947"/>
    <w:rsid w:val="0094511B"/>
    <w:rsid w:val="009739C8"/>
    <w:rsid w:val="00982157"/>
    <w:rsid w:val="00985174"/>
    <w:rsid w:val="009A6801"/>
    <w:rsid w:val="009B1280"/>
    <w:rsid w:val="009C2DB5"/>
    <w:rsid w:val="009C5B0E"/>
    <w:rsid w:val="009D17DE"/>
    <w:rsid w:val="009E6FBE"/>
    <w:rsid w:val="00A026FA"/>
    <w:rsid w:val="00A119B4"/>
    <w:rsid w:val="00A15A69"/>
    <w:rsid w:val="00A170A2"/>
    <w:rsid w:val="00A257D7"/>
    <w:rsid w:val="00A534B8"/>
    <w:rsid w:val="00A54063"/>
    <w:rsid w:val="00A5409F"/>
    <w:rsid w:val="00A57460"/>
    <w:rsid w:val="00A63054"/>
    <w:rsid w:val="00A873E9"/>
    <w:rsid w:val="00AB099B"/>
    <w:rsid w:val="00AB542B"/>
    <w:rsid w:val="00AC42DC"/>
    <w:rsid w:val="00AE4760"/>
    <w:rsid w:val="00B2036D"/>
    <w:rsid w:val="00B26C50"/>
    <w:rsid w:val="00B46033"/>
    <w:rsid w:val="00B534BF"/>
    <w:rsid w:val="00B53FCE"/>
    <w:rsid w:val="00B65452"/>
    <w:rsid w:val="00B72931"/>
    <w:rsid w:val="00B80AAD"/>
    <w:rsid w:val="00B80ADE"/>
    <w:rsid w:val="00B90063"/>
    <w:rsid w:val="00BA22BB"/>
    <w:rsid w:val="00BA7230"/>
    <w:rsid w:val="00BA7AAB"/>
    <w:rsid w:val="00BF35D4"/>
    <w:rsid w:val="00BF732E"/>
    <w:rsid w:val="00C20114"/>
    <w:rsid w:val="00C24EFE"/>
    <w:rsid w:val="00C436AB"/>
    <w:rsid w:val="00C54DD4"/>
    <w:rsid w:val="00C62B29"/>
    <w:rsid w:val="00C664FC"/>
    <w:rsid w:val="00C70C44"/>
    <w:rsid w:val="00CA0226"/>
    <w:rsid w:val="00CB2145"/>
    <w:rsid w:val="00CB37DB"/>
    <w:rsid w:val="00CB4CB2"/>
    <w:rsid w:val="00CB66B0"/>
    <w:rsid w:val="00CC31B9"/>
    <w:rsid w:val="00CD6723"/>
    <w:rsid w:val="00CE1475"/>
    <w:rsid w:val="00CE5951"/>
    <w:rsid w:val="00CF73E9"/>
    <w:rsid w:val="00D07A03"/>
    <w:rsid w:val="00D136E3"/>
    <w:rsid w:val="00D15A52"/>
    <w:rsid w:val="00D2403C"/>
    <w:rsid w:val="00D31E35"/>
    <w:rsid w:val="00D507E2"/>
    <w:rsid w:val="00D534B3"/>
    <w:rsid w:val="00D61CE0"/>
    <w:rsid w:val="00D678DB"/>
    <w:rsid w:val="00D74A07"/>
    <w:rsid w:val="00D861C8"/>
    <w:rsid w:val="00DC74E1"/>
    <w:rsid w:val="00DD2F4E"/>
    <w:rsid w:val="00DD5A65"/>
    <w:rsid w:val="00DE07A5"/>
    <w:rsid w:val="00DE2CE3"/>
    <w:rsid w:val="00E04DAF"/>
    <w:rsid w:val="00E112C7"/>
    <w:rsid w:val="00E22F6B"/>
    <w:rsid w:val="00E32836"/>
    <w:rsid w:val="00E32ED9"/>
    <w:rsid w:val="00E4272D"/>
    <w:rsid w:val="00E5058E"/>
    <w:rsid w:val="00E51733"/>
    <w:rsid w:val="00E56264"/>
    <w:rsid w:val="00E604B6"/>
    <w:rsid w:val="00E66CA0"/>
    <w:rsid w:val="00E73B23"/>
    <w:rsid w:val="00E836F5"/>
    <w:rsid w:val="00ED1EDE"/>
    <w:rsid w:val="00F034CD"/>
    <w:rsid w:val="00F0470F"/>
    <w:rsid w:val="00F14300"/>
    <w:rsid w:val="00F14D7F"/>
    <w:rsid w:val="00F20AC8"/>
    <w:rsid w:val="00F3454B"/>
    <w:rsid w:val="00F522E3"/>
    <w:rsid w:val="00F54F06"/>
    <w:rsid w:val="00F600A1"/>
    <w:rsid w:val="00F65B7F"/>
    <w:rsid w:val="00F66145"/>
    <w:rsid w:val="00F67719"/>
    <w:rsid w:val="00F742D7"/>
    <w:rsid w:val="00F81980"/>
    <w:rsid w:val="00FA3555"/>
    <w:rsid w:val="00FC0E4A"/>
    <w:rsid w:val="00FD0A93"/>
    <w:rsid w:val="00FE5E0D"/>
    <w:rsid w:val="23FA0A37"/>
    <w:rsid w:val="4A54659E"/>
    <w:rsid w:val="68C3C24D"/>
    <w:rsid w:val="7276853C"/>
    <w:rsid w:val="7EC1CE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2130"/>
  <w15:chartTrackingRefBased/>
  <w15:docId w15:val="{5B402879-F16C-49E0-B3AD-28C0E45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E20E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CB4CB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CB4CB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7408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7408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CB4CB2"/>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51733"/>
    <w:pPr>
      <w:keepNext/>
      <w:spacing w:after="200" w:line="240" w:lineRule="auto"/>
    </w:pPr>
    <w:rPr>
      <w:b/>
      <w:iCs/>
      <w:szCs w:val="18"/>
    </w:rPr>
  </w:style>
  <w:style w:type="table" w:customStyle="1" w:styleId="Tableheader">
    <w:name w:val="ŠTable header"/>
    <w:basedOn w:val="TableNormal"/>
    <w:uiPriority w:val="99"/>
    <w:rsid w:val="007C5D3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B4CB2"/>
    <w:pPr>
      <w:numPr>
        <w:numId w:val="1"/>
      </w:numPr>
      <w:contextualSpacing/>
    </w:pPr>
  </w:style>
  <w:style w:type="paragraph" w:styleId="ListNumber2">
    <w:name w:val="List Number 2"/>
    <w:aliases w:val="ŠList Number 2"/>
    <w:basedOn w:val="Normal"/>
    <w:uiPriority w:val="8"/>
    <w:qFormat/>
    <w:rsid w:val="00F65B7F"/>
    <w:pPr>
      <w:numPr>
        <w:numId w:val="4"/>
      </w:numPr>
      <w:contextualSpacing/>
    </w:pPr>
  </w:style>
  <w:style w:type="paragraph" w:styleId="ListBullet">
    <w:name w:val="List Bullet"/>
    <w:aliases w:val="ŠList Bullet"/>
    <w:basedOn w:val="Normal"/>
    <w:uiPriority w:val="9"/>
    <w:qFormat/>
    <w:rsid w:val="00F65B7F"/>
    <w:pPr>
      <w:numPr>
        <w:numId w:val="2"/>
      </w:numPr>
      <w:contextualSpacing/>
    </w:pPr>
  </w:style>
  <w:style w:type="paragraph" w:styleId="ListBullet2">
    <w:name w:val="List Bullet 2"/>
    <w:aliases w:val="ŠList Bullet 2"/>
    <w:basedOn w:val="Normal"/>
    <w:uiPriority w:val="10"/>
    <w:qFormat/>
    <w:rsid w:val="00F65B7F"/>
    <w:pPr>
      <w:numPr>
        <w:numId w:val="3"/>
      </w:numPr>
      <w:contextualSpacing/>
    </w:pPr>
  </w:style>
  <w:style w:type="paragraph" w:customStyle="1" w:styleId="FeatureBox4">
    <w:name w:val="ŠFeature Box 4"/>
    <w:basedOn w:val="FeatureBox2"/>
    <w:next w:val="Normal"/>
    <w:uiPriority w:val="14"/>
    <w:qFormat/>
    <w:rsid w:val="00921FDC"/>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4E1043"/>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C31B9"/>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3">
    <w:name w:val="ŠFeature Box 3"/>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18"/>
    <w:qFormat/>
    <w:rsid w:val="0049138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FC0E4A"/>
    <w:pPr>
      <w:tabs>
        <w:tab w:val="right" w:leader="dot" w:pos="14570"/>
      </w:tabs>
      <w:spacing w:before="0"/>
    </w:pPr>
    <w:rPr>
      <w:b/>
      <w:noProof/>
    </w:rPr>
  </w:style>
  <w:style w:type="paragraph" w:styleId="TOC2">
    <w:name w:val="toc 2"/>
    <w:aliases w:val="ŠTOC 2"/>
    <w:basedOn w:val="Normal"/>
    <w:next w:val="Normal"/>
    <w:uiPriority w:val="23"/>
    <w:unhideWhenUsed/>
    <w:rsid w:val="0017408C"/>
    <w:pPr>
      <w:tabs>
        <w:tab w:val="right" w:leader="dot" w:pos="14570"/>
      </w:tabs>
      <w:spacing w:before="0"/>
    </w:pPr>
    <w:rPr>
      <w:noProof/>
    </w:rPr>
  </w:style>
  <w:style w:type="paragraph" w:styleId="TOC3">
    <w:name w:val="toc 3"/>
    <w:aliases w:val="ŠTOC 3"/>
    <w:basedOn w:val="Normal"/>
    <w:next w:val="Normal"/>
    <w:uiPriority w:val="24"/>
    <w:unhideWhenUsed/>
    <w:rsid w:val="0017408C"/>
    <w:pPr>
      <w:spacing w:before="0"/>
      <w:ind w:left="244"/>
    </w:pPr>
  </w:style>
  <w:style w:type="paragraph" w:styleId="Title">
    <w:name w:val="Title"/>
    <w:aliases w:val="ŠTitle"/>
    <w:basedOn w:val="Normal"/>
    <w:next w:val="Normal"/>
    <w:link w:val="TitleChar"/>
    <w:uiPriority w:val="1"/>
    <w:qFormat/>
    <w:rsid w:val="00CB4CB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4194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94194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94194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CB4CB2"/>
    <w:pPr>
      <w:outlineLvl w:val="9"/>
    </w:pPr>
    <w:rPr>
      <w:sz w:val="40"/>
      <w:szCs w:val="40"/>
    </w:rPr>
  </w:style>
  <w:style w:type="paragraph" w:styleId="Footer">
    <w:name w:val="footer"/>
    <w:aliases w:val="ŠFooter"/>
    <w:basedOn w:val="Normal"/>
    <w:link w:val="FooterChar"/>
    <w:uiPriority w:val="19"/>
    <w:rsid w:val="004E104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41947"/>
    <w:rPr>
      <w:rFonts w:ascii="Arial" w:hAnsi="Arial" w:cs="Arial"/>
      <w:sz w:val="18"/>
      <w:szCs w:val="18"/>
    </w:rPr>
  </w:style>
  <w:style w:type="paragraph" w:styleId="Header">
    <w:name w:val="header"/>
    <w:aliases w:val="ŠHeader"/>
    <w:basedOn w:val="Normal"/>
    <w:link w:val="HeaderChar"/>
    <w:uiPriority w:val="16"/>
    <w:rsid w:val="0017408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94194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941947"/>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941947"/>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941947"/>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25"/>
    <w:unhideWhenUsed/>
    <w:rsid w:val="00E32ED9"/>
    <w:pPr>
      <w:spacing w:before="0"/>
      <w:ind w:left="488"/>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character" w:styleId="Strong">
    <w:name w:val="Strong"/>
    <w:aliases w:val="ŠStrong"/>
    <w:qFormat/>
    <w:rsid w:val="00A873E9"/>
    <w:rPr>
      <w:b/>
      <w:bCs/>
    </w:rPr>
  </w:style>
  <w:style w:type="character" w:styleId="Emphasis">
    <w:name w:val="Emphasis"/>
    <w:aliases w:val="ŠLanguage or scientific"/>
    <w:qFormat/>
    <w:rsid w:val="00A873E9"/>
    <w:rPr>
      <w:i/>
      <w:iCs/>
    </w:rPr>
  </w:style>
  <w:style w:type="character" w:styleId="FollowedHyperlink">
    <w:name w:val="FollowedHyperlink"/>
    <w:basedOn w:val="DefaultParagraphFont"/>
    <w:uiPriority w:val="99"/>
    <w:semiHidden/>
    <w:unhideWhenUsed/>
    <w:rsid w:val="00397047"/>
    <w:rPr>
      <w:color w:val="954F72" w:themeColor="followedHyperlink"/>
      <w:u w:val="single"/>
    </w:rPr>
  </w:style>
  <w:style w:type="paragraph" w:styleId="Revision">
    <w:name w:val="Revision"/>
    <w:hidden/>
    <w:uiPriority w:val="99"/>
    <w:semiHidden/>
    <w:rsid w:val="00C24EF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about-us/educational-data/cese/intranet-documents/2023-guide-to-models-of-collaborative-inquiry.pdf" TargetMode="External"/><Relationship Id="rId13" Type="http://schemas.openxmlformats.org/officeDocument/2006/relationships/header" Target="header2.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content/dam/main-education/inside-the-department/strategic-school-improvement/ssi-intranet/Leading-collaboration-for-school-improvement-toolkit.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myplsso.education.nsw.gov.au/mylearning/catalogue/details/95110cf8-aa81-ed11-ade7-0003fffeadf8"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yplsso.education.nsw.gov.au/mylearning/catalogue/details/95110cf8-aa81-ed11-ade7-0003fffeadf8"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gown1\OneDrive%20-%20NSW%20Department%20of%20Education\Documents\TEMPLATES\CRP\Curriculum%20Reform%20Program%20Blank%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E72E-B909-47F7-B4C3-E3CC07C0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Reform Program Blank Landscape Template</Template>
  <TotalTime>5</TotalTime>
  <Pages>7</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QDAI modelled examples</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QDAI modelled examples</dc:title>
  <dc:subject/>
  <dc:creator>NSW Department of Education</dc:creator>
  <cp:keywords/>
  <dc:description/>
  <cp:lastModifiedBy>Belinda Bagshaw</cp:lastModifiedBy>
  <cp:revision>2</cp:revision>
  <dcterms:created xsi:type="dcterms:W3CDTF">2023-08-08T06:32:00Z</dcterms:created>
  <dcterms:modified xsi:type="dcterms:W3CDTF">2023-08-14T11:21:00Z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